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keepLines/>
        <w:widowControl w:val="0"/>
        <w:shd w:val="clear" w:color="auto" w:fill="auto"/>
        <w:bidi w:val="0"/>
        <w:spacing w:before="0" w:after="0" w:line="240" w:lineRule="auto"/>
        <w:ind w:left="0" w:right="0" w:firstLine="1281" w:firstLineChars="400"/>
        <w:jc w:val="both"/>
        <w:rPr>
          <w:rFonts w:hint="eastAsia" w:ascii="微软雅黑" w:hAnsi="微软雅黑" w:eastAsia="微软雅黑" w:cs="微软雅黑"/>
          <w:b/>
          <w:bCs/>
          <w:sz w:val="32"/>
          <w:szCs w:val="32"/>
        </w:rPr>
        <w:sectPr>
          <w:footnotePr>
            <w:numFmt w:val="decimal"/>
          </w:footnotePr>
          <w:pgSz w:w="11900" w:h="16840"/>
          <w:pgMar w:top="3704" w:right="2359" w:bottom="1506" w:left="2206" w:header="3276" w:footer="1078" w:gutter="0"/>
          <w:pgNumType w:start="1"/>
          <w:cols w:space="720" w:num="1"/>
          <w:rtlGutter w:val="0"/>
          <w:docGrid w:linePitch="360" w:charSpace="0"/>
        </w:sectPr>
      </w:pPr>
      <w:bookmarkStart w:id="0" w:name="bookmark0"/>
      <w:r>
        <w:rPr>
          <w:rFonts w:hint="eastAsia" w:ascii="微软雅黑" w:hAnsi="微软雅黑" w:eastAsia="微软雅黑" w:cs="微软雅黑"/>
          <w:b/>
          <w:bCs/>
          <w:spacing w:val="0"/>
          <w:w w:val="100"/>
          <w:position w:val="0"/>
          <w:sz w:val="32"/>
          <w:szCs w:val="32"/>
          <w:shd w:val="clear" w:color="auto" w:fill="auto"/>
        </w:rPr>
        <w:t>第三次全国土壤普查工作底图</w:t>
      </w:r>
      <w:r>
        <w:rPr>
          <w:rFonts w:hint="eastAsia" w:ascii="微软雅黑" w:hAnsi="微软雅黑" w:eastAsia="微软雅黑" w:cs="微软雅黑"/>
          <w:b/>
          <w:bCs/>
          <w:spacing w:val="0"/>
          <w:w w:val="100"/>
          <w:position w:val="0"/>
          <w:sz w:val="32"/>
          <w:szCs w:val="32"/>
          <w:shd w:val="clear" w:color="auto" w:fill="auto"/>
        </w:rPr>
        <w:br w:type="textWrapping"/>
      </w:r>
      <w:r>
        <w:rPr>
          <w:rFonts w:hint="eastAsia" w:ascii="微软雅黑" w:hAnsi="微软雅黑" w:eastAsia="微软雅黑" w:cs="微软雅黑"/>
          <w:b/>
          <w:bCs/>
          <w:spacing w:val="0"/>
          <w:w w:val="100"/>
          <w:position w:val="0"/>
          <w:sz w:val="32"/>
          <w:szCs w:val="32"/>
          <w:shd w:val="clear" w:color="auto" w:fill="auto"/>
          <w:lang w:val="en-US" w:eastAsia="zh-CN"/>
        </w:rPr>
        <w:t xml:space="preserve">                </w:t>
      </w:r>
      <w:r>
        <w:rPr>
          <w:rFonts w:hint="eastAsia" w:ascii="微软雅黑" w:hAnsi="微软雅黑" w:eastAsia="微软雅黑" w:cs="微软雅黑"/>
          <w:b/>
          <w:bCs/>
          <w:spacing w:val="0"/>
          <w:w w:val="100"/>
          <w:position w:val="0"/>
          <w:sz w:val="32"/>
          <w:szCs w:val="32"/>
          <w:shd w:val="clear" w:color="auto" w:fill="auto"/>
        </w:rPr>
        <w:t>制作与采样点布设技术规范</w:t>
      </w:r>
      <w:r>
        <w:rPr>
          <w:rFonts w:hint="eastAsia" w:ascii="微软雅黑" w:hAnsi="微软雅黑" w:eastAsia="微软雅黑" w:cs="微软雅黑"/>
          <w:b/>
          <w:bCs/>
          <w:spacing w:val="0"/>
          <w:w w:val="100"/>
          <w:position w:val="0"/>
          <w:sz w:val="32"/>
          <w:szCs w:val="32"/>
          <w:shd w:val="clear" w:color="auto" w:fill="auto"/>
        </w:rPr>
        <w:br w:type="textWrapping"/>
      </w:r>
      <w:r>
        <w:rPr>
          <w:rFonts w:hint="eastAsia" w:ascii="微软雅黑" w:hAnsi="微软雅黑" w:eastAsia="微软雅黑" w:cs="微软雅黑"/>
          <w:b/>
          <w:bCs/>
          <w:spacing w:val="0"/>
          <w:w w:val="100"/>
          <w:position w:val="0"/>
          <w:sz w:val="32"/>
          <w:szCs w:val="32"/>
          <w:shd w:val="clear" w:color="auto" w:fill="auto"/>
          <w:lang w:val="en-US" w:eastAsia="zh-CN"/>
        </w:rPr>
        <w:t xml:space="preserve">                          </w:t>
      </w:r>
      <w:r>
        <w:rPr>
          <w:rFonts w:hint="eastAsia" w:ascii="微软雅黑" w:hAnsi="微软雅黑" w:eastAsia="微软雅黑" w:cs="微软雅黑"/>
          <w:b/>
          <w:bCs/>
          <w:spacing w:val="0"/>
          <w:w w:val="100"/>
          <w:position w:val="0"/>
          <w:sz w:val="32"/>
          <w:szCs w:val="32"/>
          <w:shd w:val="clear" w:color="auto" w:fill="auto"/>
        </w:rPr>
        <w:t>（修订版）</w:t>
      </w:r>
      <w:bookmarkEnd w:id="0"/>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98" w:after="98" w:line="240" w:lineRule="exact"/>
        <w:rPr>
          <w:sz w:val="19"/>
          <w:szCs w:val="19"/>
        </w:rPr>
      </w:pPr>
    </w:p>
    <w:p>
      <w:pPr>
        <w:widowControl w:val="0"/>
        <w:spacing w:line="1" w:lineRule="exact"/>
        <w:rPr>
          <w:rFonts w:hint="default" w:eastAsia="宋体"/>
          <w:lang w:val="en-US" w:eastAsia="zh-CN"/>
        </w:rPr>
        <w:sectPr>
          <w:footnotePr>
            <w:numFmt w:val="decimal"/>
          </w:footnotePr>
          <w:type w:val="continuous"/>
          <w:pgSz w:w="11900" w:h="16840"/>
          <w:pgMar w:top="3704" w:right="0" w:bottom="1506" w:left="0" w:header="0" w:footer="3" w:gutter="0"/>
          <w:cols w:space="720" w:num="1"/>
          <w:rtlGutter w:val="0"/>
          <w:docGrid w:linePitch="360" w:charSpace="0"/>
        </w:sectPr>
      </w:pPr>
      <w:r>
        <w:rPr>
          <w:rFonts w:hint="eastAsia" w:eastAsia="宋体"/>
          <w:lang w:val="en-US" w:eastAsia="zh-CN"/>
        </w:rPr>
        <w:t xml:space="preserve">  </w:t>
      </w:r>
    </w:p>
    <w:p>
      <w:pPr>
        <w:widowControl w:val="0"/>
        <w:spacing w:line="240" w:lineRule="auto"/>
        <w:ind w:firstLine="3132" w:firstLineChars="1300"/>
        <w:rPr>
          <w:rFonts w:hint="eastAsia" w:asciiTheme="minorEastAsia" w:hAnsiTheme="minorEastAsia" w:eastAsiaTheme="minorEastAsia" w:cstheme="minorEastAsia"/>
          <w:b w:val="0"/>
          <w:bCs w:val="0"/>
          <w:color w:val="231F20"/>
          <w:spacing w:val="0"/>
          <w:w w:val="100"/>
          <w:position w:val="0"/>
          <w:sz w:val="24"/>
          <w:szCs w:val="24"/>
          <w:shd w:val="clear" w:color="auto" w:fill="auto"/>
          <w:lang w:val="en-US" w:eastAsia="zh-CN"/>
        </w:rPr>
      </w:pPr>
      <w:r>
        <w:rPr>
          <w:rFonts w:hint="eastAsia" w:asciiTheme="minorEastAsia" w:hAnsiTheme="minorEastAsia" w:eastAsiaTheme="minorEastAsia" w:cstheme="minorEastAsia"/>
          <w:b/>
          <w:bCs/>
          <w:color w:val="231F20"/>
          <w:spacing w:val="0"/>
          <w:w w:val="100"/>
          <w:position w:val="0"/>
          <w:shd w:val="clear" w:color="auto" w:fill="auto"/>
        </w:rPr>
        <w:t>执笔人</w:t>
      </w:r>
      <w:r>
        <w:rPr>
          <w:rFonts w:hint="eastAsia" w:asciiTheme="minorEastAsia" w:hAnsiTheme="minorEastAsia" w:eastAsiaTheme="minorEastAsia" w:cstheme="minorEastAsia"/>
          <w:b/>
          <w:bCs/>
          <w:color w:val="231F20"/>
          <w:spacing w:val="0"/>
          <w:w w:val="100"/>
          <w:position w:val="0"/>
          <w:shd w:val="clear" w:color="auto" w:fill="auto"/>
          <w:lang w:eastAsia="zh-CN"/>
        </w:rPr>
        <w:t>：</w:t>
      </w:r>
      <w:r>
        <w:rPr>
          <w:rFonts w:hint="eastAsia" w:asciiTheme="minorEastAsia" w:hAnsiTheme="minorEastAsia" w:eastAsiaTheme="minorEastAsia" w:cstheme="minorEastAsia"/>
          <w:b/>
          <w:bCs/>
          <w:color w:val="231F20"/>
          <w:spacing w:val="0"/>
          <w:w w:val="100"/>
          <w:position w:val="0"/>
          <w:shd w:val="clear" w:color="auto" w:fill="auto"/>
          <w:lang w:val="en-US" w:eastAsia="zh-CN"/>
        </w:rPr>
        <w:t xml:space="preserve"> </w:t>
      </w:r>
      <w:r>
        <w:rPr>
          <w:rFonts w:hint="eastAsia" w:asciiTheme="minorEastAsia" w:hAnsiTheme="minorEastAsia" w:eastAsiaTheme="minorEastAsia" w:cstheme="minorEastAsia"/>
          <w:b w:val="0"/>
          <w:bCs w:val="0"/>
          <w:color w:val="231F20"/>
          <w:spacing w:val="0"/>
          <w:w w:val="100"/>
          <w:position w:val="0"/>
          <w:sz w:val="24"/>
          <w:szCs w:val="24"/>
          <w:shd w:val="clear" w:color="auto" w:fill="auto"/>
          <w:lang w:val="en-US" w:eastAsia="zh-CN"/>
        </w:rPr>
        <w:t>吴文斌  王  迪  陈章全  刘  峰  龙怀玉</w:t>
      </w:r>
    </w:p>
    <w:p>
      <w:pPr>
        <w:widowControl w:val="0"/>
        <w:spacing w:line="240" w:lineRule="exact"/>
        <w:ind w:firstLine="3840" w:firstLineChars="1600"/>
        <w:rPr>
          <w:rFonts w:hint="eastAsia" w:asciiTheme="minorEastAsia" w:hAnsiTheme="minorEastAsia" w:eastAsiaTheme="minorEastAsia" w:cstheme="minorEastAsia"/>
          <w:b w:val="0"/>
          <w:bCs w:val="0"/>
          <w:color w:val="231F20"/>
          <w:spacing w:val="0"/>
          <w:w w:val="100"/>
          <w:position w:val="0"/>
          <w:sz w:val="24"/>
          <w:szCs w:val="24"/>
          <w:shd w:val="clear" w:color="auto" w:fill="auto"/>
          <w:lang w:val="en-US" w:eastAsia="zh-CN"/>
        </w:rPr>
      </w:pPr>
      <w:r>
        <w:rPr>
          <w:rFonts w:hint="eastAsia" w:asciiTheme="minorEastAsia" w:hAnsiTheme="minorEastAsia" w:eastAsiaTheme="minorEastAsia" w:cstheme="minorEastAsia"/>
          <w:b w:val="0"/>
          <w:bCs w:val="0"/>
          <w:color w:val="231F20"/>
          <w:spacing w:val="0"/>
          <w:w w:val="100"/>
          <w:position w:val="0"/>
          <w:sz w:val="24"/>
          <w:szCs w:val="24"/>
          <w:shd w:val="clear" w:color="auto" w:fill="auto"/>
          <w:lang w:val="en-US" w:eastAsia="zh-CN"/>
        </w:rPr>
        <w:t xml:space="preserve">   马常宝  赵玉国  张建峰  陈守伦  卢昌艾</w:t>
      </w:r>
    </w:p>
    <w:p>
      <w:pPr>
        <w:widowControl w:val="0"/>
        <w:spacing w:line="240" w:lineRule="auto"/>
        <w:ind w:firstLine="0" w:firstLineChars="0"/>
        <w:rPr>
          <w:rFonts w:hint="eastAsia" w:asciiTheme="minorEastAsia" w:hAnsiTheme="minorEastAsia" w:eastAsiaTheme="minorEastAsia" w:cstheme="minorEastAsia"/>
          <w:b w:val="0"/>
          <w:bCs w:val="0"/>
          <w:color w:val="231F20"/>
          <w:spacing w:val="0"/>
          <w:w w:val="100"/>
          <w:position w:val="0"/>
          <w:sz w:val="24"/>
          <w:szCs w:val="24"/>
          <w:shd w:val="clear" w:color="auto" w:fill="auto"/>
          <w:lang w:val="en-US" w:eastAsia="zh-CN"/>
        </w:rPr>
      </w:pPr>
      <w:r>
        <w:rPr>
          <w:rFonts w:hint="eastAsia" w:asciiTheme="minorEastAsia" w:hAnsiTheme="minorEastAsia" w:eastAsiaTheme="minorEastAsia" w:cstheme="minorEastAsia"/>
          <w:b w:val="0"/>
          <w:bCs w:val="0"/>
          <w:color w:val="231F20"/>
          <w:spacing w:val="0"/>
          <w:w w:val="100"/>
          <w:position w:val="0"/>
          <w:sz w:val="24"/>
          <w:szCs w:val="24"/>
          <w:shd w:val="clear" w:color="auto" w:fill="auto"/>
          <w:lang w:val="en-US" w:eastAsia="zh-CN"/>
        </w:rPr>
        <w:t xml:space="preserve">                                   徐爱国  裴久渤</w:t>
      </w:r>
      <w:r>
        <w:rPr>
          <w:rFonts w:hint="eastAsia" w:asciiTheme="minorEastAsia" w:hAnsiTheme="minorEastAsia" w:eastAsiaTheme="minorEastAsia" w:cstheme="minorEastAsia"/>
          <w:b w:val="0"/>
          <w:bCs w:val="0"/>
          <w:color w:val="231F20"/>
          <w:spacing w:val="0"/>
          <w:w w:val="100"/>
          <w:position w:val="0"/>
          <w:sz w:val="24"/>
          <w:szCs w:val="24"/>
          <w:shd w:val="clear" w:color="auto" w:fill="auto"/>
          <w:lang w:val="en-US" w:eastAsia="zh-CN"/>
        </w:rPr>
        <w:tab/>
      </w:r>
      <w:r>
        <w:rPr>
          <w:rFonts w:hint="eastAsia" w:asciiTheme="minorEastAsia" w:hAnsiTheme="minorEastAsia" w:eastAsiaTheme="minorEastAsia" w:cstheme="minorEastAsia"/>
          <w:b w:val="0"/>
          <w:bCs w:val="0"/>
          <w:color w:val="231F20"/>
          <w:spacing w:val="0"/>
          <w:w w:val="100"/>
          <w:position w:val="0"/>
          <w:sz w:val="24"/>
          <w:szCs w:val="24"/>
          <w:shd w:val="clear" w:color="auto" w:fill="auto"/>
          <w:lang w:val="en-US" w:eastAsia="zh-CN"/>
        </w:rPr>
        <w:t xml:space="preserve"> 徐祥玉  雷秋良  黄  青</w:t>
      </w:r>
    </w:p>
    <w:p>
      <w:pPr>
        <w:widowControl w:val="0"/>
        <w:spacing w:line="240" w:lineRule="auto"/>
        <w:ind w:firstLine="0" w:firstLineChars="0"/>
        <w:rPr>
          <w:rFonts w:hint="eastAsia" w:asciiTheme="minorEastAsia" w:hAnsiTheme="minorEastAsia" w:eastAsiaTheme="minorEastAsia" w:cstheme="minorEastAsia"/>
          <w:b w:val="0"/>
          <w:bCs w:val="0"/>
          <w:color w:val="231F20"/>
          <w:spacing w:val="0"/>
          <w:w w:val="100"/>
          <w:position w:val="0"/>
          <w:sz w:val="24"/>
          <w:szCs w:val="24"/>
          <w:shd w:val="clear" w:color="auto" w:fill="auto"/>
          <w:lang w:val="en-US" w:eastAsia="zh-CN"/>
        </w:rPr>
      </w:pPr>
      <w:r>
        <w:rPr>
          <w:rFonts w:hint="eastAsia" w:asciiTheme="minorEastAsia" w:hAnsiTheme="minorEastAsia" w:eastAsiaTheme="minorEastAsia" w:cstheme="minorEastAsia"/>
          <w:b w:val="0"/>
          <w:bCs w:val="0"/>
          <w:color w:val="231F20"/>
          <w:spacing w:val="0"/>
          <w:w w:val="100"/>
          <w:position w:val="0"/>
          <w:sz w:val="24"/>
          <w:szCs w:val="24"/>
          <w:shd w:val="clear" w:color="auto" w:fill="auto"/>
          <w:lang w:val="en-US" w:eastAsia="zh-CN"/>
        </w:rPr>
        <w:t xml:space="preserve">                                   陆  苗  郭  龙  李  阳  孙  正  阮志勇</w:t>
      </w:r>
    </w:p>
    <w:p>
      <w:pPr>
        <w:widowControl w:val="0"/>
        <w:spacing w:line="240" w:lineRule="exact"/>
        <w:ind w:firstLine="3840" w:firstLineChars="1600"/>
        <w:rPr>
          <w:rFonts w:hint="default" w:asciiTheme="minorEastAsia" w:hAnsiTheme="minorEastAsia" w:eastAsiaTheme="minorEastAsia" w:cstheme="minorEastAsia"/>
          <w:b w:val="0"/>
          <w:bCs w:val="0"/>
          <w:color w:val="231F20"/>
          <w:spacing w:val="0"/>
          <w:w w:val="100"/>
          <w:position w:val="0"/>
          <w:sz w:val="24"/>
          <w:szCs w:val="24"/>
          <w:shd w:val="clear" w:color="auto" w:fill="auto"/>
          <w:lang w:val="en-US" w:eastAsia="zh-CN"/>
        </w:rPr>
      </w:pPr>
      <w:r>
        <w:rPr>
          <w:rFonts w:hint="eastAsia" w:asciiTheme="minorEastAsia" w:hAnsiTheme="minorEastAsia" w:eastAsiaTheme="minorEastAsia" w:cstheme="minorEastAsia"/>
          <w:b w:val="0"/>
          <w:bCs w:val="0"/>
          <w:color w:val="231F20"/>
          <w:spacing w:val="0"/>
          <w:w w:val="100"/>
          <w:position w:val="0"/>
          <w:sz w:val="24"/>
          <w:szCs w:val="24"/>
          <w:shd w:val="clear" w:color="auto" w:fill="auto"/>
          <w:lang w:val="en-US" w:eastAsia="zh-CN"/>
        </w:rPr>
        <w:t xml:space="preserve">   高明杰  钱建平  余强毅  王玺森 </w:t>
      </w:r>
    </w:p>
    <w:p>
      <w:pPr>
        <w:widowControl w:val="0"/>
        <w:spacing w:line="240" w:lineRule="exact"/>
        <w:rPr>
          <w:b w:val="0"/>
          <w:bCs w:val="0"/>
          <w:sz w:val="24"/>
          <w:szCs w:val="24"/>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10" w:after="10" w:line="240" w:lineRule="exact"/>
        <w:rPr>
          <w:sz w:val="19"/>
          <w:szCs w:val="19"/>
        </w:rPr>
      </w:pPr>
    </w:p>
    <w:p>
      <w:pPr>
        <w:widowControl w:val="0"/>
        <w:spacing w:line="1" w:lineRule="exact"/>
        <w:sectPr>
          <w:footnotePr>
            <w:numFmt w:val="decimal"/>
          </w:footnotePr>
          <w:type w:val="continuous"/>
          <w:pgSz w:w="11900" w:h="16840"/>
          <w:pgMar w:top="2378" w:right="0" w:bottom="3033" w:left="0" w:header="0" w:footer="3" w:gutter="0"/>
          <w:cols w:space="720" w:num="1"/>
          <w:rtlGutter w:val="0"/>
          <w:docGrid w:linePitch="360" w:charSpace="0"/>
        </w:sectPr>
      </w:pPr>
    </w:p>
    <w:p>
      <w:pPr>
        <w:pStyle w:val="9"/>
        <w:keepNext w:val="0"/>
        <w:keepLines w:val="0"/>
        <w:widowControl w:val="0"/>
        <w:shd w:val="clear" w:color="auto" w:fill="auto"/>
        <w:bidi w:val="0"/>
        <w:spacing w:before="0" w:after="140" w:line="240" w:lineRule="auto"/>
        <w:ind w:left="0" w:right="0" w:firstLine="0"/>
        <w:jc w:val="center"/>
        <w:rPr>
          <w:b/>
          <w:bCs/>
          <w:color w:val="231F20"/>
          <w:spacing w:val="0"/>
          <w:w w:val="100"/>
          <w:position w:val="0"/>
          <w:shd w:val="clear" w:color="auto" w:fill="auto"/>
        </w:rPr>
      </w:pPr>
    </w:p>
    <w:p>
      <w:pPr>
        <w:pStyle w:val="9"/>
        <w:keepNext w:val="0"/>
        <w:keepLines w:val="0"/>
        <w:widowControl w:val="0"/>
        <w:shd w:val="clear" w:color="auto" w:fill="auto"/>
        <w:bidi w:val="0"/>
        <w:spacing w:before="0" w:after="140" w:line="240" w:lineRule="auto"/>
        <w:ind w:left="0" w:right="0" w:firstLine="0"/>
        <w:jc w:val="center"/>
        <w:rPr>
          <w:b/>
          <w:bCs/>
          <w:color w:val="231F20"/>
          <w:spacing w:val="0"/>
          <w:w w:val="100"/>
          <w:position w:val="0"/>
          <w:shd w:val="clear" w:color="auto" w:fill="auto"/>
        </w:rPr>
      </w:pPr>
    </w:p>
    <w:p>
      <w:pPr>
        <w:pStyle w:val="9"/>
        <w:keepNext w:val="0"/>
        <w:keepLines w:val="0"/>
        <w:widowControl w:val="0"/>
        <w:shd w:val="clear" w:color="auto" w:fill="auto"/>
        <w:bidi w:val="0"/>
        <w:spacing w:before="0" w:after="140" w:line="240" w:lineRule="auto"/>
        <w:ind w:left="0" w:right="0" w:firstLine="0"/>
        <w:jc w:val="center"/>
        <w:rPr>
          <w:b/>
          <w:bCs/>
          <w:color w:val="231F20"/>
          <w:spacing w:val="0"/>
          <w:w w:val="100"/>
          <w:position w:val="0"/>
          <w:shd w:val="clear" w:color="auto" w:fill="auto"/>
        </w:rPr>
      </w:pPr>
    </w:p>
    <w:p>
      <w:pPr>
        <w:pStyle w:val="9"/>
        <w:keepNext w:val="0"/>
        <w:keepLines w:val="0"/>
        <w:widowControl w:val="0"/>
        <w:shd w:val="clear" w:color="auto" w:fill="auto"/>
        <w:bidi w:val="0"/>
        <w:spacing w:before="0" w:after="140" w:line="240" w:lineRule="auto"/>
        <w:ind w:left="0" w:right="0" w:firstLine="0"/>
        <w:jc w:val="center"/>
        <w:rPr>
          <w:b/>
          <w:bCs/>
          <w:color w:val="231F20"/>
          <w:spacing w:val="0"/>
          <w:w w:val="100"/>
          <w:position w:val="0"/>
          <w:shd w:val="clear" w:color="auto" w:fill="auto"/>
        </w:rPr>
      </w:pPr>
    </w:p>
    <w:p>
      <w:pPr>
        <w:pStyle w:val="9"/>
        <w:keepNext w:val="0"/>
        <w:keepLines w:val="0"/>
        <w:widowControl w:val="0"/>
        <w:shd w:val="clear" w:color="auto" w:fill="auto"/>
        <w:bidi w:val="0"/>
        <w:spacing w:before="0" w:after="140" w:line="240" w:lineRule="auto"/>
        <w:ind w:left="0" w:right="0" w:firstLine="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color w:val="231F20"/>
          <w:spacing w:val="0"/>
          <w:w w:val="100"/>
          <w:position w:val="0"/>
          <w:sz w:val="24"/>
          <w:szCs w:val="24"/>
          <w:shd w:val="clear" w:color="auto" w:fill="auto"/>
        </w:rPr>
        <w:t>国务院第三次全国土壤普查领导小组办公室</w:t>
      </w:r>
    </w:p>
    <w:p>
      <w:pPr>
        <w:pStyle w:val="11"/>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bCs/>
          <w:sz w:val="24"/>
          <w:szCs w:val="24"/>
        </w:rPr>
        <w:sectPr>
          <w:footnotePr>
            <w:numFmt w:val="decimal"/>
          </w:footnotePr>
          <w:type w:val="continuous"/>
          <w:pgSz w:w="11900" w:h="16840"/>
          <w:pgMar w:top="2378" w:right="1317" w:bottom="3033" w:left="1313" w:header="0" w:footer="3" w:gutter="0"/>
          <w:cols w:space="720" w:num="1"/>
          <w:rtlGutter w:val="0"/>
          <w:docGrid w:linePitch="360" w:charSpace="0"/>
        </w:sectPr>
      </w:pPr>
      <w:r>
        <w:rPr>
          <w:rFonts w:hint="eastAsia" w:asciiTheme="minorEastAsia" w:hAnsiTheme="minorEastAsia" w:eastAsiaTheme="minorEastAsia" w:cstheme="minorEastAsia"/>
          <w:b/>
          <w:bCs/>
          <w:spacing w:val="0"/>
          <w:w w:val="100"/>
          <w:position w:val="0"/>
          <w:sz w:val="24"/>
          <w:szCs w:val="24"/>
          <w:shd w:val="clear" w:color="auto" w:fill="auto"/>
        </w:rPr>
        <w:t>2023年2月</w:t>
      </w:r>
    </w:p>
    <w:p>
      <w:pPr>
        <w:pStyle w:val="13"/>
        <w:keepNext/>
        <w:keepLines/>
        <w:widowControl w:val="0"/>
        <w:shd w:val="clear" w:color="auto" w:fill="auto"/>
        <w:bidi w:val="0"/>
        <w:spacing w:before="0" w:after="240" w:line="240" w:lineRule="auto"/>
        <w:ind w:left="0" w:right="0" w:firstLine="0"/>
        <w:jc w:val="left"/>
        <w:rPr>
          <w:rFonts w:hint="eastAsia" w:asciiTheme="majorEastAsia" w:hAnsiTheme="majorEastAsia" w:eastAsiaTheme="majorEastAsia" w:cstheme="majorEastAsia"/>
          <w:b/>
          <w:bCs/>
          <w:sz w:val="30"/>
          <w:szCs w:val="30"/>
        </w:rPr>
      </w:pPr>
      <w:bookmarkStart w:id="1" w:name="bookmark2"/>
      <w:r>
        <w:rPr>
          <w:rFonts w:hint="eastAsia" w:asciiTheme="majorEastAsia" w:hAnsiTheme="majorEastAsia" w:eastAsiaTheme="majorEastAsia" w:cstheme="majorEastAsia"/>
          <w:b/>
          <w:bCs/>
          <w:color w:val="000000"/>
          <w:spacing w:val="0"/>
          <w:w w:val="100"/>
          <w:position w:val="0"/>
          <w:sz w:val="30"/>
          <w:szCs w:val="30"/>
          <w:shd w:val="clear" w:color="auto" w:fill="auto"/>
        </w:rPr>
        <w:t>目</w:t>
      </w: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30"/>
          <w:szCs w:val="30"/>
          <w:shd w:val="clear" w:color="auto" w:fill="auto"/>
        </w:rPr>
        <w:t>次</w:t>
      </w:r>
      <w:bookmarkEnd w:id="1"/>
    </w:p>
    <w:p>
      <w:pPr>
        <w:pStyle w:val="17"/>
        <w:keepNext w:val="0"/>
        <w:keepLines w:val="0"/>
        <w:widowControl w:val="0"/>
        <w:shd w:val="clear" w:color="auto" w:fill="auto"/>
        <w:tabs>
          <w:tab w:val="right" w:leader="dot" w:pos="9215"/>
        </w:tabs>
        <w:bidi w:val="0"/>
        <w:spacing w:before="0" w:after="0" w:line="240" w:lineRule="auto"/>
        <w:ind w:left="0" w:right="0" w:firstLine="0"/>
        <w:jc w:val="both"/>
        <w:rPr>
          <w:rFonts w:hint="eastAsia" w:asciiTheme="minorEastAsia" w:hAnsiTheme="minorEastAsia" w:eastAsiaTheme="minorEastAsia" w:cstheme="minorEastAsia"/>
          <w:sz w:val="24"/>
          <w:szCs w:val="24"/>
        </w:rPr>
      </w:pPr>
      <w:r>
        <w:fldChar w:fldCharType="begin"/>
      </w:r>
      <w:r>
        <w:instrText xml:space="preserve"> TOC \o "1-5" \h \z </w:instrText>
      </w:r>
      <w:r>
        <w:fldChar w:fldCharType="separate"/>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"bookmark4" \o "Current Document"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适用范围</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color w:val="000000"/>
          <w:spacing w:val="0"/>
          <w:w w:val="100"/>
          <w:position w:val="0"/>
          <w:sz w:val="24"/>
          <w:szCs w:val="24"/>
          <w:shd w:val="clear" w:color="auto" w:fill="auto"/>
        </w:rPr>
        <w:t>69</w:t>
      </w:r>
      <w:r>
        <w:rPr>
          <w:rFonts w:hint="eastAsia" w:asciiTheme="minorEastAsia" w:hAnsiTheme="minorEastAsia" w:eastAsiaTheme="minorEastAsia" w:cstheme="minorEastAsia"/>
          <w:color w:val="000000"/>
          <w:spacing w:val="0"/>
          <w:w w:val="100"/>
          <w:position w:val="0"/>
          <w:sz w:val="24"/>
          <w:szCs w:val="24"/>
          <w:shd w:val="clear" w:color="auto" w:fill="auto"/>
        </w:rPr>
        <w:fldChar w:fldCharType="end"/>
      </w:r>
    </w:p>
    <w:p>
      <w:pPr>
        <w:pStyle w:val="17"/>
        <w:keepNext w:val="0"/>
        <w:keepLines w:val="0"/>
        <w:widowControl w:val="0"/>
        <w:shd w:val="clear" w:color="auto" w:fill="auto"/>
        <w:tabs>
          <w:tab w:val="right" w:leader="dot" w:pos="9215"/>
        </w:tabs>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"bookmark6" \o "Current Document"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color w:val="000000"/>
          <w:spacing w:val="0"/>
          <w:w w:val="100"/>
          <w:position w:val="0"/>
          <w:sz w:val="24"/>
          <w:szCs w:val="24"/>
          <w:shd w:val="clear" w:color="auto" w:fill="auto"/>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规范性引用文件</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color w:val="000000"/>
          <w:spacing w:val="0"/>
          <w:w w:val="100"/>
          <w:position w:val="0"/>
          <w:sz w:val="24"/>
          <w:szCs w:val="24"/>
          <w:shd w:val="clear" w:color="auto" w:fill="auto"/>
        </w:rPr>
        <w:t>69</w:t>
      </w:r>
      <w:r>
        <w:rPr>
          <w:rFonts w:hint="eastAsia" w:asciiTheme="minorEastAsia" w:hAnsiTheme="minorEastAsia" w:eastAsiaTheme="minorEastAsia" w:cstheme="minorEastAsia"/>
          <w:color w:val="000000"/>
          <w:spacing w:val="0"/>
          <w:w w:val="100"/>
          <w:position w:val="0"/>
          <w:sz w:val="24"/>
          <w:szCs w:val="24"/>
          <w:shd w:val="clear" w:color="auto" w:fill="auto"/>
        </w:rPr>
        <w:fldChar w:fldCharType="end"/>
      </w:r>
    </w:p>
    <w:p>
      <w:pPr>
        <w:pStyle w:val="17"/>
        <w:keepNext w:val="0"/>
        <w:keepLines w:val="0"/>
        <w:widowControl w:val="0"/>
        <w:shd w:val="clear" w:color="auto" w:fill="auto"/>
        <w:tabs>
          <w:tab w:val="right" w:leader="dot" w:pos="9215"/>
        </w:tabs>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"bookmark8" \o "Current Document"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color w:val="000000"/>
          <w:spacing w:val="0"/>
          <w:w w:val="100"/>
          <w:position w:val="0"/>
          <w:sz w:val="24"/>
          <w:szCs w:val="24"/>
          <w:shd w:val="clear" w:color="auto" w:fill="auto"/>
        </w:rPr>
        <w:t>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术语和定义</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color w:val="000000"/>
          <w:spacing w:val="0"/>
          <w:w w:val="100"/>
          <w:position w:val="0"/>
          <w:sz w:val="24"/>
          <w:szCs w:val="24"/>
          <w:shd w:val="clear" w:color="auto" w:fill="auto"/>
        </w:rPr>
        <w:t>69</w:t>
      </w:r>
      <w:r>
        <w:rPr>
          <w:rFonts w:hint="eastAsia" w:asciiTheme="minorEastAsia" w:hAnsiTheme="minorEastAsia" w:eastAsiaTheme="minorEastAsia" w:cstheme="minorEastAsia"/>
          <w:color w:val="000000"/>
          <w:spacing w:val="0"/>
          <w:w w:val="100"/>
          <w:position w:val="0"/>
          <w:sz w:val="24"/>
          <w:szCs w:val="24"/>
          <w:shd w:val="clear" w:color="auto" w:fill="auto"/>
        </w:rPr>
        <w:fldChar w:fldCharType="end"/>
      </w:r>
    </w:p>
    <w:p>
      <w:pPr>
        <w:pStyle w:val="17"/>
        <w:keepNext w:val="0"/>
        <w:keepLines w:val="0"/>
        <w:widowControl w:val="0"/>
        <w:shd w:val="clear" w:color="auto" w:fill="auto"/>
        <w:tabs>
          <w:tab w:val="left" w:pos="703"/>
          <w:tab w:val="right" w:leader="dot" w:pos="9215"/>
        </w:tabs>
        <w:bidi w:val="0"/>
        <w:spacing w:before="0" w:after="0" w:line="240" w:lineRule="auto"/>
        <w:ind w:left="0" w:right="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 xml:space="preserve">3. </w:t>
      </w: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rPr>
        <w:tab/>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图斑</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color w:val="000000"/>
          <w:spacing w:val="0"/>
          <w:w w:val="100"/>
          <w:position w:val="0"/>
          <w:sz w:val="24"/>
          <w:szCs w:val="24"/>
          <w:shd w:val="clear" w:color="auto" w:fill="auto"/>
        </w:rPr>
        <w:t>69</w:t>
      </w:r>
    </w:p>
    <w:p>
      <w:pPr>
        <w:pStyle w:val="17"/>
        <w:keepNext w:val="0"/>
        <w:keepLines w:val="0"/>
        <w:widowControl w:val="0"/>
        <w:shd w:val="clear" w:color="auto" w:fill="auto"/>
        <w:tabs>
          <w:tab w:val="left" w:pos="718"/>
          <w:tab w:val="right" w:leader="dot" w:pos="9215"/>
        </w:tabs>
        <w:bidi w:val="0"/>
        <w:spacing w:before="0" w:after="0" w:line="240" w:lineRule="auto"/>
        <w:ind w:left="0" w:right="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 xml:space="preserve">3. </w:t>
      </w:r>
      <w:r>
        <w:rPr>
          <w:rFonts w:hint="eastAsia" w:asciiTheme="minorEastAsia" w:hAnsiTheme="minorEastAsia" w:eastAsiaTheme="minorEastAsia" w:cstheme="minorEastAsia"/>
          <w:color w:val="000000"/>
          <w:spacing w:val="0"/>
          <w:w w:val="100"/>
          <w:position w:val="0"/>
          <w:sz w:val="24"/>
          <w:szCs w:val="24"/>
          <w:shd w:val="clear" w:color="auto" w:fill="auto"/>
        </w:rPr>
        <w:t>2</w:t>
      </w:r>
      <w:r>
        <w:rPr>
          <w:rFonts w:hint="eastAsia" w:asciiTheme="minorEastAsia" w:hAnsiTheme="minorEastAsia" w:eastAsiaTheme="minorEastAsia" w:cstheme="minorEastAsia"/>
          <w:color w:val="000000"/>
          <w:spacing w:val="0"/>
          <w:w w:val="100"/>
          <w:position w:val="0"/>
          <w:sz w:val="24"/>
          <w:szCs w:val="24"/>
          <w:shd w:val="clear" w:color="auto" w:fill="auto"/>
        </w:rPr>
        <w:tab/>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土壤表层采样</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color w:val="000000"/>
          <w:spacing w:val="0"/>
          <w:w w:val="100"/>
          <w:position w:val="0"/>
          <w:sz w:val="24"/>
          <w:szCs w:val="24"/>
          <w:shd w:val="clear" w:color="auto" w:fill="auto"/>
        </w:rPr>
        <w:t>69</w:t>
      </w:r>
    </w:p>
    <w:p>
      <w:pPr>
        <w:pStyle w:val="17"/>
        <w:keepNext w:val="0"/>
        <w:keepLines w:val="0"/>
        <w:widowControl w:val="0"/>
        <w:shd w:val="clear" w:color="auto" w:fill="auto"/>
        <w:tabs>
          <w:tab w:val="right" w:leader="dot" w:pos="9215"/>
        </w:tabs>
        <w:bidi w:val="0"/>
        <w:spacing w:before="0" w:after="0" w:line="240" w:lineRule="auto"/>
        <w:ind w:left="0" w:right="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 xml:space="preserve"> 3 </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color w:val="000000"/>
          <w:spacing w:val="0"/>
          <w:w w:val="100"/>
          <w:position w:val="0"/>
          <w:sz w:val="24"/>
          <w:szCs w:val="24"/>
          <w:shd w:val="clear" w:color="auto" w:fill="auto"/>
        </w:rPr>
        <w:t>69</w:t>
      </w:r>
    </w:p>
    <w:p>
      <w:pPr>
        <w:pStyle w:val="17"/>
        <w:keepNext w:val="0"/>
        <w:keepLines w:val="0"/>
        <w:widowControl w:val="0"/>
        <w:shd w:val="clear" w:color="auto" w:fill="auto"/>
        <w:tabs>
          <w:tab w:val="left" w:pos="718"/>
          <w:tab w:val="right" w:leader="dot" w:pos="9215"/>
        </w:tabs>
        <w:bidi w:val="0"/>
        <w:spacing w:before="0" w:after="0" w:line="240" w:lineRule="auto"/>
        <w:ind w:left="0" w:right="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 xml:space="preserve">3. </w:t>
      </w:r>
      <w:r>
        <w:rPr>
          <w:rFonts w:hint="eastAsia" w:asciiTheme="minorEastAsia" w:hAnsiTheme="minorEastAsia" w:eastAsiaTheme="minorEastAsia" w:cstheme="minorEastAsia"/>
          <w:color w:val="000000"/>
          <w:spacing w:val="0"/>
          <w:w w:val="100"/>
          <w:position w:val="0"/>
          <w:sz w:val="24"/>
          <w:szCs w:val="24"/>
          <w:shd w:val="clear" w:color="auto" w:fill="auto"/>
        </w:rPr>
        <w:t>4</w:t>
      </w:r>
      <w:r>
        <w:rPr>
          <w:rFonts w:hint="eastAsia" w:asciiTheme="minorEastAsia" w:hAnsiTheme="minorEastAsia" w:eastAsiaTheme="minorEastAsia" w:cstheme="minorEastAsia"/>
          <w:color w:val="000000"/>
          <w:spacing w:val="0"/>
          <w:w w:val="100"/>
          <w:position w:val="0"/>
          <w:sz w:val="24"/>
          <w:szCs w:val="24"/>
          <w:shd w:val="clear" w:color="auto" w:fill="auto"/>
        </w:rPr>
        <w:tab/>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宏观代表性</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color w:val="000000"/>
          <w:spacing w:val="0"/>
          <w:w w:val="100"/>
          <w:position w:val="0"/>
          <w:sz w:val="24"/>
          <w:szCs w:val="24"/>
          <w:shd w:val="clear" w:color="auto" w:fill="auto"/>
        </w:rPr>
        <w:t>69</w:t>
      </w:r>
    </w:p>
    <w:p>
      <w:pPr>
        <w:pStyle w:val="17"/>
        <w:keepNext w:val="0"/>
        <w:keepLines w:val="0"/>
        <w:widowControl w:val="0"/>
        <w:numPr>
          <w:ilvl w:val="0"/>
          <w:numId w:val="0"/>
        </w:numPr>
        <w:shd w:val="clear" w:color="auto" w:fill="auto"/>
        <w:tabs>
          <w:tab w:val="left" w:pos="554"/>
          <w:tab w:val="right" w:leader="dot" w:pos="9215"/>
        </w:tabs>
        <w:bidi w:val="0"/>
        <w:spacing w:before="0" w:after="0" w:line="240" w:lineRule="auto"/>
        <w:ind w:left="220" w:leftChars="0" w:right="0" w:right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3. </w:t>
      </w:r>
      <w:r>
        <w:rPr>
          <w:rFonts w:hint="eastAsia" w:asciiTheme="minorEastAsia" w:hAnsiTheme="minorEastAsia" w:eastAsiaTheme="minorEastAsia" w:cstheme="minorEastAsia"/>
          <w:color w:val="000000"/>
          <w:spacing w:val="0"/>
          <w:w w:val="100"/>
          <w:position w:val="0"/>
          <w:sz w:val="24"/>
          <w:szCs w:val="24"/>
          <w:shd w:val="clear" w:color="auto" w:fill="auto"/>
        </w:rPr>
        <w:t>5</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局地代表性</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color w:val="000000"/>
          <w:spacing w:val="0"/>
          <w:w w:val="100"/>
          <w:position w:val="0"/>
          <w:sz w:val="24"/>
          <w:szCs w:val="24"/>
          <w:shd w:val="clear" w:color="auto" w:fill="auto"/>
        </w:rPr>
        <w:t>69</w:t>
      </w:r>
    </w:p>
    <w:p>
      <w:pPr>
        <w:pStyle w:val="17"/>
        <w:keepNext w:val="0"/>
        <w:keepLines w:val="0"/>
        <w:widowControl w:val="0"/>
        <w:shd w:val="clear" w:color="auto" w:fill="auto"/>
        <w:tabs>
          <w:tab w:val="right" w:leader="dot" w:pos="9215"/>
        </w:tabs>
        <w:bidi w:val="0"/>
        <w:spacing w:before="0" w:after="0" w:line="240" w:lineRule="auto"/>
        <w:ind w:left="0" w:right="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6</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缩略语</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color w:val="000000"/>
          <w:spacing w:val="0"/>
          <w:w w:val="100"/>
          <w:position w:val="0"/>
          <w:sz w:val="24"/>
          <w:szCs w:val="24"/>
          <w:shd w:val="clear" w:color="auto" w:fill="auto"/>
        </w:rPr>
        <w:t>69</w:t>
      </w:r>
    </w:p>
    <w:p>
      <w:pPr>
        <w:pStyle w:val="17"/>
        <w:keepNext w:val="0"/>
        <w:keepLines w:val="0"/>
        <w:widowControl w:val="0"/>
        <w:shd w:val="clear" w:color="auto" w:fill="auto"/>
        <w:tabs>
          <w:tab w:val="right" w:leader="dot" w:pos="9215"/>
        </w:tabs>
        <w:bidi w:val="0"/>
        <w:spacing w:before="0" w:after="0" w:line="24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"bookmark10" \o "Current Document"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color w:val="000000"/>
          <w:spacing w:val="0"/>
          <w:w w:val="100"/>
          <w:position w:val="0"/>
          <w:sz w:val="24"/>
          <w:szCs w:val="24"/>
          <w:shd w:val="clear" w:color="auto" w:fill="auto"/>
        </w:rPr>
        <w:t>4</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工作底图制作与样点预布设</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color w:val="000000"/>
          <w:spacing w:val="0"/>
          <w:w w:val="100"/>
          <w:position w:val="0"/>
          <w:sz w:val="24"/>
          <w:szCs w:val="24"/>
          <w:shd w:val="clear" w:color="auto" w:fill="auto"/>
        </w:rPr>
        <w:t>70</w:t>
      </w:r>
      <w:r>
        <w:rPr>
          <w:rFonts w:hint="eastAsia" w:asciiTheme="minorEastAsia" w:hAnsiTheme="minorEastAsia" w:eastAsiaTheme="minorEastAsia" w:cstheme="minorEastAsia"/>
          <w:color w:val="000000"/>
          <w:spacing w:val="0"/>
          <w:w w:val="100"/>
          <w:position w:val="0"/>
          <w:sz w:val="24"/>
          <w:szCs w:val="24"/>
          <w:shd w:val="clear" w:color="auto" w:fill="auto"/>
        </w:rPr>
        <w:fldChar w:fldCharType="end"/>
      </w:r>
    </w:p>
    <w:p>
      <w:pPr>
        <w:pStyle w:val="17"/>
        <w:keepNext w:val="0"/>
        <w:keepLines w:val="0"/>
        <w:widowControl w:val="0"/>
        <w:numPr>
          <w:ilvl w:val="0"/>
          <w:numId w:val="0"/>
        </w:numPr>
        <w:shd w:val="clear" w:color="auto" w:fill="auto"/>
        <w:tabs>
          <w:tab w:val="left" w:pos="559"/>
          <w:tab w:val="right" w:leader="dot" w:pos="9215"/>
        </w:tabs>
        <w:bidi w:val="0"/>
        <w:spacing w:before="0" w:after="0" w:line="240" w:lineRule="auto"/>
        <w:ind w:left="220" w:leftChars="0" w:right="0" w:right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4.</w:t>
      </w: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工作底图制作</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color w:val="000000"/>
          <w:spacing w:val="0"/>
          <w:w w:val="100"/>
          <w:position w:val="0"/>
          <w:sz w:val="24"/>
          <w:szCs w:val="24"/>
          <w:shd w:val="clear" w:color="auto" w:fill="auto"/>
        </w:rPr>
        <w:t>70</w:t>
      </w:r>
    </w:p>
    <w:p>
      <w:pPr>
        <w:pStyle w:val="17"/>
        <w:keepNext w:val="0"/>
        <w:keepLines w:val="0"/>
        <w:widowControl w:val="0"/>
        <w:shd w:val="clear" w:color="auto" w:fill="auto"/>
        <w:tabs>
          <w:tab w:val="right" w:leader="dot" w:pos="9215"/>
        </w:tabs>
        <w:bidi w:val="0"/>
        <w:spacing w:before="0" w:after="0" w:line="240" w:lineRule="auto"/>
        <w:ind w:left="0" w:right="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4.2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表层样点预布设</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color w:val="000000"/>
          <w:spacing w:val="0"/>
          <w:w w:val="100"/>
          <w:position w:val="0"/>
          <w:sz w:val="24"/>
          <w:szCs w:val="24"/>
          <w:shd w:val="clear" w:color="auto" w:fill="auto"/>
        </w:rPr>
        <w:t>71</w:t>
      </w:r>
    </w:p>
    <w:p>
      <w:pPr>
        <w:pStyle w:val="17"/>
        <w:keepNext w:val="0"/>
        <w:keepLines w:val="0"/>
        <w:widowControl w:val="0"/>
        <w:shd w:val="clear" w:color="auto" w:fill="auto"/>
        <w:tabs>
          <w:tab w:val="right" w:leader="dot" w:pos="9215"/>
        </w:tabs>
        <w:bidi w:val="0"/>
        <w:spacing w:before="0" w:after="0" w:line="240" w:lineRule="auto"/>
        <w:ind w:left="0" w:right="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4.3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剖面样点预布设</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color w:val="000000"/>
          <w:spacing w:val="0"/>
          <w:w w:val="100"/>
          <w:position w:val="0"/>
          <w:sz w:val="24"/>
          <w:szCs w:val="24"/>
          <w:shd w:val="clear" w:color="auto" w:fill="auto"/>
        </w:rPr>
        <w:t>77</w:t>
      </w:r>
    </w:p>
    <w:p>
      <w:pPr>
        <w:pStyle w:val="17"/>
        <w:keepNext w:val="0"/>
        <w:keepLines w:val="0"/>
        <w:widowControl w:val="0"/>
        <w:shd w:val="clear" w:color="auto" w:fill="auto"/>
        <w:tabs>
          <w:tab w:val="right" w:leader="dot" w:pos="9215"/>
        </w:tabs>
        <w:bidi w:val="0"/>
        <w:spacing w:before="0" w:after="0" w:line="240" w:lineRule="auto"/>
        <w:ind w:left="0" w:right="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"bookmark38" \o "Current Document"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color w:val="000000"/>
          <w:spacing w:val="0"/>
          <w:w w:val="100"/>
          <w:position w:val="0"/>
          <w:sz w:val="24"/>
          <w:szCs w:val="24"/>
          <w:shd w:val="clear" w:color="auto" w:fill="auto"/>
        </w:rPr>
        <w:t>4</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样点预布设结果的省级校核</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color w:val="000000"/>
          <w:spacing w:val="0"/>
          <w:w w:val="100"/>
          <w:position w:val="0"/>
          <w:sz w:val="24"/>
          <w:szCs w:val="24"/>
          <w:shd w:val="clear" w:color="auto" w:fill="auto"/>
        </w:rPr>
        <w:t>79</w:t>
      </w:r>
      <w:r>
        <w:rPr>
          <w:rFonts w:hint="eastAsia" w:asciiTheme="minorEastAsia" w:hAnsiTheme="minorEastAsia" w:eastAsiaTheme="minorEastAsia" w:cstheme="minorEastAsia"/>
          <w:color w:val="000000"/>
          <w:spacing w:val="0"/>
          <w:w w:val="100"/>
          <w:position w:val="0"/>
          <w:sz w:val="24"/>
          <w:szCs w:val="24"/>
          <w:shd w:val="clear" w:color="auto" w:fill="auto"/>
        </w:rPr>
        <w:fldChar w:fldCharType="end"/>
      </w:r>
    </w:p>
    <w:p>
      <w:pPr>
        <w:pStyle w:val="17"/>
        <w:keepNext w:val="0"/>
        <w:keepLines w:val="0"/>
        <w:widowControl w:val="0"/>
        <w:shd w:val="clear" w:color="auto" w:fill="auto"/>
        <w:tabs>
          <w:tab w:val="right" w:leader="dot" w:pos="9215"/>
        </w:tabs>
        <w:bidi w:val="0"/>
        <w:spacing w:before="0" w:after="0" w:line="240" w:lineRule="auto"/>
        <w:ind w:left="0" w:right="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4.5</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样点编码赋值</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b/>
      </w:r>
      <w:r>
        <w:rPr>
          <w:rFonts w:hint="eastAsia" w:asciiTheme="minorEastAsia" w:hAnsiTheme="minorEastAsia" w:eastAsiaTheme="minorEastAsia" w:cstheme="minorEastAsia"/>
          <w:color w:val="000000"/>
          <w:spacing w:val="0"/>
          <w:w w:val="100"/>
          <w:position w:val="0"/>
          <w:sz w:val="24"/>
          <w:szCs w:val="24"/>
          <w:shd w:val="clear" w:color="auto" w:fill="auto"/>
        </w:rPr>
        <w:t>81</w:t>
      </w:r>
    </w:p>
    <w:p>
      <w:pPr>
        <w:pStyle w:val="17"/>
        <w:keepNext w:val="0"/>
        <w:keepLines w:val="0"/>
        <w:widowControl w:val="0"/>
        <w:shd w:val="clear" w:color="auto" w:fill="auto"/>
        <w:tabs>
          <w:tab w:val="right" w:leader="dot" w:pos="9215"/>
        </w:tabs>
        <w:bidi w:val="0"/>
        <w:spacing w:before="0" w:after="0" w:line="240" w:lineRule="auto"/>
        <w:ind w:left="0" w:right="0"/>
        <w:jc w:val="both"/>
        <w:sectPr>
          <w:headerReference r:id="rId5" w:type="default"/>
          <w:footerReference r:id="rId7" w:type="default"/>
          <w:headerReference r:id="rId6" w:type="even"/>
          <w:footerReference r:id="rId8" w:type="even"/>
          <w:footnotePr>
            <w:numFmt w:val="decimal"/>
          </w:footnotePr>
          <w:pgSz w:w="11900" w:h="16840"/>
          <w:pgMar w:top="2378" w:right="1317" w:bottom="3033" w:left="1313" w:header="0" w:footer="3" w:gutter="0"/>
          <w:pgNumType w:start="68"/>
          <w:cols w:space="720" w:num="1"/>
          <w:rtlGutter w:val="0"/>
          <w:docGrid w:linePitch="360" w:charSpace="0"/>
        </w:sect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4.6</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样点信息与任务赋值</w:t>
      </w:r>
      <w:r>
        <w:rPr>
          <w:color w:val="000000"/>
          <w:spacing w:val="0"/>
          <w:w w:val="100"/>
          <w:position w:val="0"/>
          <w:shd w:val="clear" w:color="auto" w:fill="auto"/>
          <w:lang w:val="en-US" w:eastAsia="en-US" w:bidi="en-US"/>
        </w:rPr>
        <w:tab/>
      </w:r>
      <w:r>
        <w:fldChar w:fldCharType="end"/>
      </w:r>
      <w:r>
        <w:rPr>
          <w:rFonts w:hint="eastAsia" w:asciiTheme="minorEastAsia" w:hAnsiTheme="minorEastAsia" w:eastAsiaTheme="minorEastAsia" w:cstheme="minorEastAsia"/>
          <w:color w:val="000000"/>
          <w:spacing w:val="0"/>
          <w:w w:val="100"/>
          <w:position w:val="0"/>
          <w:sz w:val="24"/>
          <w:szCs w:val="24"/>
          <w:shd w:val="clear" w:color="auto" w:fill="auto"/>
        </w:rPr>
        <w:t>81</w:t>
      </w:r>
    </w:p>
    <w:p>
      <w:pPr>
        <w:widowControl w:val="0"/>
        <w:spacing w:before="6" w:after="6" w:line="240" w:lineRule="exact"/>
        <w:rPr>
          <w:sz w:val="19"/>
          <w:szCs w:val="19"/>
        </w:rPr>
      </w:pPr>
    </w:p>
    <w:p>
      <w:pPr>
        <w:widowControl w:val="0"/>
        <w:spacing w:line="1" w:lineRule="exact"/>
        <w:sectPr>
          <w:footnotePr>
            <w:numFmt w:val="decimal"/>
          </w:footnotePr>
          <w:pgSz w:w="11900" w:h="16840"/>
          <w:pgMar w:top="1384" w:right="1310" w:bottom="1320" w:left="1312" w:header="0" w:footer="3" w:gutter="0"/>
          <w:cols w:space="720" w:num="1"/>
          <w:rtlGutter w:val="0"/>
          <w:docGrid w:linePitch="360" w:charSpace="0"/>
        </w:sectPr>
      </w:pPr>
    </w:p>
    <w:p>
      <w:pPr>
        <w:pStyle w:val="13"/>
        <w:keepNext/>
        <w:keepLines/>
        <w:widowControl w:val="0"/>
        <w:shd w:val="clear" w:color="auto" w:fill="auto"/>
        <w:bidi w:val="0"/>
        <w:spacing w:before="0" w:after="180" w:line="240" w:lineRule="auto"/>
        <w:ind w:left="0" w:right="0" w:firstLine="0"/>
        <w:jc w:val="left"/>
        <w:rPr>
          <w:rFonts w:hint="eastAsia" w:asciiTheme="majorEastAsia" w:hAnsiTheme="majorEastAsia" w:eastAsiaTheme="majorEastAsia" w:cstheme="majorEastAsia"/>
          <w:b/>
          <w:bCs/>
          <w:sz w:val="30"/>
          <w:szCs w:val="30"/>
        </w:rPr>
      </w:pPr>
      <w:bookmarkStart w:id="2" w:name="bookmark4"/>
      <w:r>
        <w:rPr>
          <w:rFonts w:hint="eastAsia" w:asciiTheme="majorEastAsia" w:hAnsiTheme="majorEastAsia" w:eastAsiaTheme="majorEastAsia" w:cstheme="majorEastAsia"/>
          <w:b/>
          <w:bCs/>
          <w:color w:val="000000"/>
          <w:spacing w:val="0"/>
          <w:w w:val="100"/>
          <w:position w:val="0"/>
          <w:sz w:val="30"/>
          <w:szCs w:val="30"/>
          <w:shd w:val="clear" w:color="auto" w:fill="auto"/>
        </w:rPr>
        <w:t>1</w:t>
      </w: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30"/>
          <w:szCs w:val="30"/>
          <w:shd w:val="clear" w:color="auto" w:fill="auto"/>
        </w:rPr>
        <w:t>适用范围</w:t>
      </w:r>
      <w:bookmarkEnd w:id="2"/>
    </w:p>
    <w:p>
      <w:pPr>
        <w:pStyle w:val="9"/>
        <w:keepNext w:val="0"/>
        <w:keepLines w:val="0"/>
        <w:widowControl w:val="0"/>
        <w:shd w:val="clear" w:color="auto" w:fill="auto"/>
        <w:bidi w:val="0"/>
        <w:spacing w:before="0" w:after="0" w:line="331"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本规范确立了第三次全国土壤普查的工作底图制作、样点布设（含样点编码、样点属性、样点任务）等技术性、原则性要求。</w:t>
      </w:r>
    </w:p>
    <w:p>
      <w:pPr>
        <w:pStyle w:val="9"/>
        <w:keepNext w:val="0"/>
        <w:keepLines w:val="0"/>
        <w:widowControl w:val="0"/>
        <w:shd w:val="clear" w:color="auto" w:fill="auto"/>
        <w:bidi w:val="0"/>
        <w:spacing w:before="0" w:after="240" w:line="331" w:lineRule="exact"/>
        <w:ind w:left="0" w:right="0" w:firstLine="44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spacing w:val="0"/>
          <w:w w:val="100"/>
          <w:position w:val="0"/>
          <w:sz w:val="24"/>
          <w:szCs w:val="24"/>
          <w:shd w:val="clear" w:color="auto" w:fill="auto"/>
        </w:rPr>
        <w:t>本规范适用于第三次全国土壤普查（以下简称“土壤三普”</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p>
    <w:p>
      <w:pPr>
        <w:pStyle w:val="13"/>
        <w:keepNext/>
        <w:keepLines/>
        <w:widowControl w:val="0"/>
        <w:shd w:val="clear" w:color="auto" w:fill="auto"/>
        <w:bidi w:val="0"/>
        <w:spacing w:before="0" w:after="240" w:line="240" w:lineRule="auto"/>
        <w:ind w:left="0" w:right="0" w:firstLine="0"/>
        <w:jc w:val="left"/>
        <w:rPr>
          <w:rFonts w:hint="eastAsia" w:asciiTheme="majorEastAsia" w:hAnsiTheme="majorEastAsia" w:eastAsiaTheme="majorEastAsia" w:cstheme="majorEastAsia"/>
          <w:b/>
          <w:bCs/>
          <w:sz w:val="30"/>
          <w:szCs w:val="30"/>
        </w:rPr>
      </w:pPr>
      <w:bookmarkStart w:id="3" w:name="bookmark6"/>
      <w:r>
        <w:rPr>
          <w:rFonts w:hint="eastAsia" w:asciiTheme="majorEastAsia" w:hAnsiTheme="majorEastAsia" w:eastAsiaTheme="majorEastAsia" w:cstheme="majorEastAsia"/>
          <w:b/>
          <w:bCs/>
          <w:color w:val="000000"/>
          <w:spacing w:val="0"/>
          <w:w w:val="100"/>
          <w:position w:val="0"/>
          <w:sz w:val="30"/>
          <w:szCs w:val="30"/>
          <w:shd w:val="clear" w:color="auto" w:fill="auto"/>
        </w:rPr>
        <w:t>2</w:t>
      </w: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30"/>
          <w:szCs w:val="30"/>
          <w:shd w:val="clear" w:color="auto" w:fill="auto"/>
        </w:rPr>
        <w:t>规范性引用文件</w:t>
      </w:r>
      <w:bookmarkEnd w:id="3"/>
    </w:p>
    <w:p>
      <w:pPr>
        <w:pStyle w:val="9"/>
        <w:keepNext w:val="0"/>
        <w:keepLines w:val="0"/>
        <w:widowControl w:val="0"/>
        <w:shd w:val="clear" w:color="auto" w:fill="auto"/>
        <w:bidi w:val="0"/>
        <w:spacing w:before="0" w:after="300" w:line="312" w:lineRule="exact"/>
        <w:ind w:left="0" w:right="0" w:firstLine="44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color w:val="000000"/>
          <w:spacing w:val="0"/>
          <w:w w:val="100"/>
          <w:position w:val="0"/>
          <w:sz w:val="24"/>
          <w:szCs w:val="24"/>
          <w:shd w:val="clear" w:color="auto" w:fill="auto"/>
        </w:rPr>
        <w:t>下列文件中的内容通过文中的规范性引用而构成本规范必不可少的条款。其中，注日期的引用文件，仅该日期对应的版本适用于本规范；不注日期的引用文件，其最新版本（包括所有的修改</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单）适用于本规范。</w:t>
      </w:r>
    </w:p>
    <w:p>
      <w:pPr>
        <w:pStyle w:val="9"/>
        <w:keepNext w:val="0"/>
        <w:keepLines w:val="0"/>
        <w:widowControl w:val="0"/>
        <w:shd w:val="clear" w:color="auto" w:fill="auto"/>
        <w:bidi w:val="0"/>
        <w:spacing w:before="0" w:after="0" w:line="240" w:lineRule="auto"/>
        <w:ind w:right="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GB/T 17296-2009            《</w:t>
      </w:r>
      <w:r>
        <w:rPr>
          <w:rFonts w:hint="eastAsia" w:asciiTheme="minorEastAsia" w:hAnsiTheme="minorEastAsia" w:eastAsiaTheme="minorEastAsia" w:cstheme="minorEastAsia"/>
          <w:color w:val="000000"/>
          <w:spacing w:val="0"/>
          <w:w w:val="100"/>
          <w:position w:val="0"/>
          <w:sz w:val="24"/>
          <w:szCs w:val="24"/>
          <w:shd w:val="clear" w:color="auto" w:fill="auto"/>
        </w:rPr>
        <w:t>中国土壤分类与代码</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p>
    <w:p>
      <w:pPr>
        <w:pStyle w:val="9"/>
        <w:keepNext w:val="0"/>
        <w:keepLines w:val="0"/>
        <w:widowControl w:val="0"/>
        <w:shd w:val="clear" w:color="auto" w:fill="auto"/>
        <w:bidi w:val="0"/>
        <w:spacing w:before="0" w:after="0" w:line="240" w:lineRule="auto"/>
        <w:ind w:right="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GB/T 21010-2017            《</w:t>
      </w:r>
      <w:r>
        <w:rPr>
          <w:rFonts w:hint="eastAsia" w:asciiTheme="minorEastAsia" w:hAnsiTheme="minorEastAsia" w:eastAsiaTheme="minorEastAsia" w:cstheme="minorEastAsia"/>
          <w:color w:val="000000"/>
          <w:spacing w:val="0"/>
          <w:w w:val="100"/>
          <w:position w:val="0"/>
          <w:sz w:val="24"/>
          <w:szCs w:val="24"/>
          <w:shd w:val="clear" w:color="auto" w:fill="auto"/>
        </w:rPr>
        <w:t>土地利用现状分类</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p>
    <w:p>
      <w:pPr>
        <w:pStyle w:val="9"/>
        <w:keepNext w:val="0"/>
        <w:keepLines w:val="0"/>
        <w:widowControl w:val="0"/>
        <w:shd w:val="clear" w:color="auto" w:fill="auto"/>
        <w:bidi w:val="0"/>
        <w:spacing w:before="0" w:after="0" w:line="240" w:lineRule="auto"/>
        <w:ind w:right="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GB/T 2260-2007             《</w:t>
      </w:r>
      <w:r>
        <w:rPr>
          <w:rFonts w:hint="eastAsia" w:asciiTheme="minorEastAsia" w:hAnsiTheme="minorEastAsia" w:eastAsiaTheme="minorEastAsia" w:cstheme="minorEastAsia"/>
          <w:color w:val="000000"/>
          <w:spacing w:val="0"/>
          <w:w w:val="100"/>
          <w:position w:val="0"/>
          <w:sz w:val="24"/>
          <w:szCs w:val="24"/>
          <w:shd w:val="clear" w:color="auto" w:fill="auto"/>
        </w:rPr>
        <w:t>中华人民共和国行政区划代码</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p>
    <w:p>
      <w:pPr>
        <w:pStyle w:val="9"/>
        <w:keepNext w:val="0"/>
        <w:keepLines w:val="0"/>
        <w:widowControl w:val="0"/>
        <w:shd w:val="clear" w:color="auto" w:fill="auto"/>
        <w:bidi w:val="0"/>
        <w:spacing w:before="0" w:after="0" w:line="240" w:lineRule="auto"/>
        <w:ind w:right="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GB/T 13989-2012            《</w:t>
      </w:r>
      <w:r>
        <w:rPr>
          <w:rFonts w:hint="eastAsia" w:asciiTheme="minorEastAsia" w:hAnsiTheme="minorEastAsia" w:eastAsiaTheme="minorEastAsia" w:cstheme="minorEastAsia"/>
          <w:color w:val="000000"/>
          <w:spacing w:val="0"/>
          <w:w w:val="100"/>
          <w:position w:val="0"/>
          <w:sz w:val="24"/>
          <w:szCs w:val="24"/>
          <w:shd w:val="clear" w:color="auto" w:fill="auto"/>
        </w:rPr>
        <w:t>国家基本比例尺地形图分幅和编号</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p>
    <w:p>
      <w:pPr>
        <w:pStyle w:val="9"/>
        <w:keepNext w:val="0"/>
        <w:keepLines w:val="0"/>
        <w:widowControl w:val="0"/>
        <w:shd w:val="clear" w:color="auto" w:fill="auto"/>
        <w:bidi w:val="0"/>
        <w:spacing w:before="0" w:after="0" w:line="240" w:lineRule="auto"/>
        <w:ind w:right="0"/>
        <w:jc w:val="left"/>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GB/T 20057                  国家基本比例尺地图图式（包括GB/T20257.1、GB/T</w:t>
      </w:r>
    </w:p>
    <w:p>
      <w:pPr>
        <w:pStyle w:val="9"/>
        <w:keepNext w:val="0"/>
        <w:keepLines w:val="0"/>
        <w:widowControl w:val="0"/>
        <w:shd w:val="clear" w:color="auto" w:fill="auto"/>
        <w:bidi w:val="0"/>
        <w:spacing w:before="0" w:after="0" w:line="240" w:lineRule="auto"/>
        <w:ind w:right="0"/>
        <w:jc w:val="left"/>
        <w:rPr>
          <w:rFonts w:hint="default" w:asciiTheme="minorEastAsia" w:hAnsiTheme="minorEastAsia" w:eastAsiaTheme="minorEastAsia" w:cstheme="minorEastAsia"/>
          <w:color w:val="000000"/>
          <w:spacing w:val="0"/>
          <w:w w:val="100"/>
          <w:position w:val="0"/>
          <w:sz w:val="24"/>
          <w:szCs w:val="24"/>
          <w:shd w:val="clear" w:color="auto" w:fill="auto"/>
          <w:lang w:val="en-US" w:eastAsia="zh-CN"/>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20257.2、GB/T 20257.3、GB/T 20257.4）</w:t>
      </w:r>
    </w:p>
    <w:p>
      <w:pPr>
        <w:pStyle w:val="9"/>
        <w:keepNext w:val="0"/>
        <w:keepLines w:val="0"/>
        <w:widowControl w:val="0"/>
        <w:shd w:val="clear" w:color="auto" w:fill="auto"/>
        <w:bidi w:val="0"/>
        <w:spacing w:before="0" w:after="0" w:line="240" w:lineRule="auto"/>
        <w:ind w:right="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GB/T 19231-2003            </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土地基本术语</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p>
    <w:p>
      <w:pPr>
        <w:pStyle w:val="9"/>
        <w:keepNext w:val="0"/>
        <w:keepLines w:val="0"/>
        <w:widowControl w:val="0"/>
        <w:shd w:val="clear" w:color="auto" w:fill="auto"/>
        <w:bidi w:val="0"/>
        <w:spacing w:before="0" w:after="0" w:line="240" w:lineRule="auto"/>
        <w:ind w:right="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TD/T 1055-2019             《</w:t>
      </w:r>
      <w:r>
        <w:rPr>
          <w:rFonts w:hint="eastAsia" w:asciiTheme="minorEastAsia" w:hAnsiTheme="minorEastAsia" w:eastAsiaTheme="minorEastAsia" w:cstheme="minorEastAsia"/>
          <w:color w:val="000000"/>
          <w:spacing w:val="0"/>
          <w:w w:val="100"/>
          <w:position w:val="0"/>
          <w:sz w:val="24"/>
          <w:szCs w:val="24"/>
          <w:shd w:val="clear" w:color="auto" w:fill="auto"/>
        </w:rPr>
        <w:t>第三次全国国土调查技术规程</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p>
    <w:p>
      <w:pPr>
        <w:pStyle w:val="9"/>
        <w:keepNext w:val="0"/>
        <w:keepLines w:val="0"/>
        <w:widowControl w:val="0"/>
        <w:shd w:val="clear" w:color="auto" w:fill="auto"/>
        <w:bidi w:val="0"/>
        <w:spacing w:before="0" w:after="240" w:line="240" w:lineRule="auto"/>
        <w:ind w:left="0" w:leftChars="0" w:right="0" w:firstLine="0" w:firstLineChars="0"/>
        <w:jc w:val="left"/>
        <w:rPr>
          <w:rFonts w:hint="eastAsia" w:eastAsia="宋体"/>
          <w:lang w:eastAsia="zh-CN"/>
        </w:rPr>
      </w:pPr>
      <w:r>
        <w:rPr>
          <w:rFonts w:hint="eastAsia" w:asciiTheme="minorEastAsia" w:hAnsiTheme="minorEastAsia" w:eastAsiaTheme="minorEastAsia" w:cstheme="minorEastAsia"/>
          <w:color w:val="FFFFFF" w:themeColor="background1"/>
          <w:spacing w:val="0"/>
          <w:w w:val="100"/>
          <w:position w:val="0"/>
          <w:sz w:val="24"/>
          <w:szCs w:val="24"/>
          <w:shd w:val="clear" w:color="auto" w:fill="auto"/>
          <w:lang w:val="en-US" w:eastAsia="zh-CN"/>
          <w14:textFill>
            <w14:solidFill>
              <w14:schemeClr w14:val="bg1"/>
            </w14:solidFill>
          </w14:textFill>
        </w:rPr>
        <w:t>11</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第三次全国土壤普查技术规程（试行）</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p>
    <w:p>
      <w:pPr>
        <w:pStyle w:val="13"/>
        <w:keepNext/>
        <w:keepLines/>
        <w:widowControl w:val="0"/>
        <w:shd w:val="clear" w:color="auto" w:fill="auto"/>
        <w:bidi w:val="0"/>
        <w:spacing w:before="0" w:after="420" w:line="240" w:lineRule="auto"/>
        <w:ind w:left="0" w:right="0" w:firstLine="0"/>
        <w:jc w:val="left"/>
        <w:rPr>
          <w:rFonts w:hint="eastAsia" w:asciiTheme="majorEastAsia" w:hAnsiTheme="majorEastAsia" w:eastAsiaTheme="majorEastAsia" w:cstheme="majorEastAsia"/>
          <w:b/>
          <w:bCs/>
          <w:sz w:val="30"/>
          <w:szCs w:val="30"/>
        </w:rPr>
      </w:pPr>
      <w:bookmarkStart w:id="4" w:name="bookmark8"/>
      <w:r>
        <w:rPr>
          <w:rFonts w:hint="eastAsia" w:asciiTheme="majorEastAsia" w:hAnsiTheme="majorEastAsia" w:eastAsiaTheme="majorEastAsia" w:cstheme="majorEastAsia"/>
          <w:b/>
          <w:bCs/>
          <w:color w:val="000000"/>
          <w:spacing w:val="0"/>
          <w:w w:val="100"/>
          <w:position w:val="0"/>
          <w:sz w:val="30"/>
          <w:szCs w:val="30"/>
          <w:shd w:val="clear" w:color="auto" w:fill="auto"/>
        </w:rPr>
        <w:t>3</w:t>
      </w: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30"/>
          <w:szCs w:val="30"/>
          <w:shd w:val="clear" w:color="auto" w:fill="auto"/>
        </w:rPr>
        <w:t>术语和定义</w:t>
      </w:r>
      <w:bookmarkEnd w:id="4"/>
    </w:p>
    <w:p>
      <w:pPr>
        <w:pStyle w:val="19"/>
        <w:keepNext w:val="0"/>
        <w:keepLines w:val="0"/>
        <w:widowControl w:val="0"/>
        <w:numPr>
          <w:ilvl w:val="0"/>
          <w:numId w:val="0"/>
        </w:numPr>
        <w:shd w:val="clear" w:color="auto" w:fill="auto"/>
        <w:tabs>
          <w:tab w:val="left" w:pos="349"/>
        </w:tabs>
        <w:bidi w:val="0"/>
        <w:spacing w:before="0"/>
        <w:ind w:leftChars="0" w:right="0" w:right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3.</w:t>
      </w:r>
      <w:r>
        <w:rPr>
          <w:rFonts w:hint="eastAsia" w:asciiTheme="majorEastAsia" w:hAnsiTheme="majorEastAsia" w:eastAsiaTheme="majorEastAsia" w:cstheme="majorEastAsia"/>
          <w:b/>
          <w:bCs/>
          <w:color w:val="000000"/>
          <w:spacing w:val="0"/>
          <w:w w:val="100"/>
          <w:position w:val="0"/>
          <w:sz w:val="24"/>
          <w:szCs w:val="24"/>
          <w:shd w:val="clear" w:color="auto" w:fill="auto"/>
        </w:rPr>
        <w:t>1 图斑</w:t>
      </w:r>
    </w:p>
    <w:p>
      <w:pPr>
        <w:pStyle w:val="9"/>
        <w:keepNext w:val="0"/>
        <w:keepLines w:val="0"/>
        <w:widowControl w:val="0"/>
        <w:shd w:val="clear" w:color="auto" w:fill="auto"/>
        <w:bidi w:val="0"/>
        <w:spacing w:before="0" w:after="180" w:line="317" w:lineRule="exact"/>
        <w:ind w:left="0" w:right="0" w:firstLine="440"/>
        <w:jc w:val="both"/>
        <w:rPr>
          <w:sz w:val="24"/>
          <w:szCs w:val="24"/>
        </w:rPr>
      </w:pPr>
      <w:r>
        <w:rPr>
          <w:color w:val="000000"/>
          <w:spacing w:val="0"/>
          <w:w w:val="100"/>
          <w:position w:val="0"/>
          <w:sz w:val="24"/>
          <w:szCs w:val="24"/>
          <w:shd w:val="clear" w:color="auto" w:fill="auto"/>
        </w:rPr>
        <w:t>土地利用类型、土壤类型等某一地块的图形范围，或二类图形叠加形成的图形范围。图斑是土壤普查的基本单元。</w:t>
      </w:r>
    </w:p>
    <w:p>
      <w:pPr>
        <w:pStyle w:val="9"/>
        <w:keepNext w:val="0"/>
        <w:keepLines w:val="0"/>
        <w:widowControl w:val="0"/>
        <w:numPr>
          <w:ilvl w:val="0"/>
          <w:numId w:val="0"/>
        </w:numPr>
        <w:shd w:val="clear" w:color="auto" w:fill="auto"/>
        <w:tabs>
          <w:tab w:val="left" w:pos="349"/>
        </w:tabs>
        <w:bidi w:val="0"/>
        <w:spacing w:before="0" w:after="120" w:line="314" w:lineRule="exact"/>
        <w:ind w:leftChars="0" w:right="0" w:right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3.</w:t>
      </w:r>
      <w:r>
        <w:rPr>
          <w:rFonts w:hint="eastAsia" w:asciiTheme="majorEastAsia" w:hAnsiTheme="majorEastAsia" w:eastAsiaTheme="majorEastAsia" w:cstheme="majorEastAsia"/>
          <w:b/>
          <w:bCs/>
          <w:color w:val="000000"/>
          <w:spacing w:val="0"/>
          <w:w w:val="100"/>
          <w:position w:val="0"/>
          <w:sz w:val="24"/>
          <w:szCs w:val="24"/>
          <w:shd w:val="clear" w:color="auto" w:fill="auto"/>
        </w:rPr>
        <w:t>2 土壤表层采样</w:t>
      </w:r>
    </w:p>
    <w:p>
      <w:pPr>
        <w:pStyle w:val="9"/>
        <w:keepNext w:val="0"/>
        <w:keepLines w:val="0"/>
        <w:widowControl w:val="0"/>
        <w:shd w:val="clear" w:color="auto" w:fill="auto"/>
        <w:bidi w:val="0"/>
        <w:spacing w:before="0" w:after="180" w:line="312" w:lineRule="exact"/>
        <w:ind w:left="0" w:right="0" w:firstLine="440"/>
        <w:jc w:val="both"/>
        <w:rPr>
          <w:sz w:val="24"/>
          <w:szCs w:val="24"/>
        </w:rPr>
      </w:pPr>
      <w:r>
        <w:rPr>
          <w:color w:val="000000"/>
          <w:spacing w:val="0"/>
          <w:w w:val="100"/>
          <w:position w:val="0"/>
          <w:sz w:val="24"/>
          <w:szCs w:val="24"/>
          <w:shd w:val="clear" w:color="auto" w:fill="auto"/>
        </w:rPr>
        <w:t>在土壤表层进行土壤样品采集。对于耕地、林地、草地而言，采样深度为</w:t>
      </w:r>
      <w:r>
        <w:rPr>
          <w:color w:val="000000"/>
          <w:spacing w:val="0"/>
          <w:w w:val="100"/>
          <w:position w:val="0"/>
          <w:sz w:val="24"/>
          <w:szCs w:val="24"/>
          <w:shd w:val="clear" w:color="auto" w:fill="auto"/>
          <w:lang w:val="en-US" w:eastAsia="en-US" w:bidi="en-US"/>
        </w:rPr>
        <w:t>0</w:t>
      </w:r>
      <w:r>
        <w:rPr>
          <w:rFonts w:hint="eastAsia"/>
          <w:color w:val="000000"/>
          <w:spacing w:val="0"/>
          <w:w w:val="100"/>
          <w:position w:val="0"/>
          <w:sz w:val="24"/>
          <w:szCs w:val="24"/>
          <w:shd w:val="clear" w:color="auto" w:fill="auto"/>
          <w:lang w:val="en-US" w:eastAsia="zh-CN" w:bidi="en-US"/>
        </w:rPr>
        <w:t>～</w:t>
      </w:r>
      <w:r>
        <w:rPr>
          <w:color w:val="000000"/>
          <w:spacing w:val="0"/>
          <w:w w:val="100"/>
          <w:position w:val="0"/>
          <w:sz w:val="24"/>
          <w:szCs w:val="24"/>
          <w:shd w:val="clear" w:color="auto" w:fill="auto"/>
          <w:lang w:val="en-US" w:eastAsia="en-US" w:bidi="en-US"/>
        </w:rPr>
        <w:t>20cm;</w:t>
      </w:r>
      <w:r>
        <w:rPr>
          <w:color w:val="000000"/>
          <w:spacing w:val="0"/>
          <w:w w:val="100"/>
          <w:position w:val="0"/>
          <w:sz w:val="24"/>
          <w:szCs w:val="24"/>
          <w:shd w:val="clear" w:color="auto" w:fill="auto"/>
        </w:rPr>
        <w:t>对于园地,采样深度为0</w:t>
      </w:r>
      <w:r>
        <w:rPr>
          <w:rFonts w:hint="eastAsia"/>
          <w:color w:val="000000"/>
          <w:spacing w:val="0"/>
          <w:w w:val="100"/>
          <w:position w:val="0"/>
          <w:sz w:val="24"/>
          <w:szCs w:val="24"/>
          <w:shd w:val="clear" w:color="auto" w:fill="auto"/>
          <w:lang w:val="en-US" w:eastAsia="zh-CN"/>
        </w:rPr>
        <w:t>～</w:t>
      </w:r>
      <w:r>
        <w:rPr>
          <w:color w:val="000000"/>
          <w:spacing w:val="0"/>
          <w:w w:val="100"/>
          <w:position w:val="0"/>
          <w:sz w:val="24"/>
          <w:szCs w:val="24"/>
          <w:shd w:val="clear" w:color="auto" w:fill="auto"/>
        </w:rPr>
        <w:t>40</w:t>
      </w:r>
      <w:r>
        <w:rPr>
          <w:color w:val="000000"/>
          <w:spacing w:val="0"/>
          <w:w w:val="100"/>
          <w:position w:val="0"/>
          <w:sz w:val="24"/>
          <w:szCs w:val="24"/>
          <w:shd w:val="clear" w:color="auto" w:fill="auto"/>
          <w:lang w:val="en-US" w:eastAsia="en-US" w:bidi="en-US"/>
        </w:rPr>
        <w:t>cm。</w:t>
      </w:r>
    </w:p>
    <w:p>
      <w:pPr>
        <w:pStyle w:val="9"/>
        <w:keepNext w:val="0"/>
        <w:keepLines w:val="0"/>
        <w:widowControl w:val="0"/>
        <w:numPr>
          <w:ilvl w:val="0"/>
          <w:numId w:val="0"/>
        </w:numPr>
        <w:shd w:val="clear" w:color="auto" w:fill="auto"/>
        <w:tabs>
          <w:tab w:val="left" w:pos="349"/>
        </w:tabs>
        <w:bidi w:val="0"/>
        <w:spacing w:before="0" w:after="120" w:line="314" w:lineRule="exact"/>
        <w:ind w:leftChars="0" w:right="0" w:right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3.</w:t>
      </w:r>
      <w:r>
        <w:rPr>
          <w:rFonts w:hint="eastAsia" w:asciiTheme="majorEastAsia" w:hAnsiTheme="majorEastAsia" w:eastAsiaTheme="majorEastAsia" w:cstheme="majorEastAsia"/>
          <w:b/>
          <w:bCs/>
          <w:color w:val="000000"/>
          <w:spacing w:val="0"/>
          <w:w w:val="100"/>
          <w:position w:val="0"/>
          <w:sz w:val="24"/>
          <w:szCs w:val="24"/>
          <w:shd w:val="clear" w:color="auto" w:fill="auto"/>
        </w:rPr>
        <w:t>3入样图斑</w:t>
      </w:r>
    </w:p>
    <w:p>
      <w:pPr>
        <w:pStyle w:val="9"/>
        <w:keepNext w:val="0"/>
        <w:keepLines w:val="0"/>
        <w:widowControl w:val="0"/>
        <w:shd w:val="clear" w:color="auto" w:fill="auto"/>
        <w:bidi w:val="0"/>
        <w:spacing w:before="0" w:after="180" w:line="314" w:lineRule="exact"/>
        <w:ind w:left="0" w:right="0" w:firstLine="440"/>
        <w:jc w:val="left"/>
        <w:rPr>
          <w:sz w:val="24"/>
          <w:szCs w:val="24"/>
        </w:rPr>
      </w:pPr>
      <w:r>
        <w:rPr>
          <w:rFonts w:hint="eastAsia"/>
          <w:color w:val="000000"/>
          <w:spacing w:val="0"/>
          <w:w w:val="100"/>
          <w:position w:val="0"/>
          <w:sz w:val="24"/>
          <w:szCs w:val="24"/>
          <w:shd w:val="clear" w:color="auto" w:fill="auto"/>
          <w:lang w:val="en-US" w:eastAsia="zh-CN"/>
        </w:rPr>
        <w:t>入</w:t>
      </w:r>
      <w:r>
        <w:rPr>
          <w:color w:val="000000"/>
          <w:spacing w:val="0"/>
          <w:w w:val="100"/>
          <w:position w:val="0"/>
          <w:sz w:val="24"/>
          <w:szCs w:val="24"/>
          <w:shd w:val="clear" w:color="auto" w:fill="auto"/>
        </w:rPr>
        <w:t>样图斑是有采样点分配任务的图斑，是叠加图斑的子集。</w:t>
      </w:r>
    </w:p>
    <w:p>
      <w:pPr>
        <w:pStyle w:val="9"/>
        <w:keepNext w:val="0"/>
        <w:keepLines w:val="0"/>
        <w:widowControl w:val="0"/>
        <w:numPr>
          <w:ilvl w:val="0"/>
          <w:numId w:val="0"/>
        </w:numPr>
        <w:shd w:val="clear" w:color="auto" w:fill="auto"/>
        <w:tabs>
          <w:tab w:val="left" w:pos="349"/>
        </w:tabs>
        <w:bidi w:val="0"/>
        <w:spacing w:before="0" w:after="120" w:line="314" w:lineRule="exact"/>
        <w:ind w:leftChars="0" w:right="0" w:right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3.</w:t>
      </w:r>
      <w:r>
        <w:rPr>
          <w:rFonts w:hint="eastAsia" w:asciiTheme="majorEastAsia" w:hAnsiTheme="majorEastAsia" w:eastAsiaTheme="majorEastAsia" w:cstheme="majorEastAsia"/>
          <w:b/>
          <w:bCs/>
          <w:color w:val="000000"/>
          <w:spacing w:val="0"/>
          <w:w w:val="100"/>
          <w:position w:val="0"/>
          <w:sz w:val="24"/>
          <w:szCs w:val="24"/>
          <w:shd w:val="clear" w:color="auto" w:fill="auto"/>
        </w:rPr>
        <w:t>4宏观代表性</w:t>
      </w:r>
    </w:p>
    <w:p>
      <w:pPr>
        <w:pStyle w:val="9"/>
        <w:keepNext w:val="0"/>
        <w:keepLines w:val="0"/>
        <w:widowControl w:val="0"/>
        <w:shd w:val="clear" w:color="auto" w:fill="auto"/>
        <w:bidi w:val="0"/>
        <w:spacing w:before="0" w:after="180" w:line="314" w:lineRule="exact"/>
        <w:ind w:left="0" w:right="0" w:firstLine="440"/>
        <w:jc w:val="left"/>
      </w:pPr>
      <w:r>
        <w:rPr>
          <w:color w:val="000000"/>
          <w:spacing w:val="0"/>
          <w:w w:val="100"/>
          <w:position w:val="0"/>
          <w:sz w:val="24"/>
          <w:szCs w:val="24"/>
          <w:shd w:val="clear" w:color="auto" w:fill="auto"/>
        </w:rPr>
        <w:t>样点分布反映宏观尺度上土壤空间分布规律。</w:t>
      </w:r>
    </w:p>
    <w:p>
      <w:pPr>
        <w:pStyle w:val="9"/>
        <w:keepNext w:val="0"/>
        <w:keepLines w:val="0"/>
        <w:widowControl w:val="0"/>
        <w:numPr>
          <w:ilvl w:val="0"/>
          <w:numId w:val="0"/>
        </w:numPr>
        <w:shd w:val="clear" w:color="auto" w:fill="auto"/>
        <w:tabs>
          <w:tab w:val="left" w:pos="349"/>
        </w:tabs>
        <w:bidi w:val="0"/>
        <w:spacing w:before="0" w:after="120" w:line="314" w:lineRule="exact"/>
        <w:ind w:leftChars="0" w:right="0" w:right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3.</w:t>
      </w:r>
      <w:r>
        <w:rPr>
          <w:rFonts w:hint="eastAsia" w:asciiTheme="majorEastAsia" w:hAnsiTheme="majorEastAsia" w:eastAsiaTheme="majorEastAsia" w:cstheme="majorEastAsia"/>
          <w:b/>
          <w:bCs/>
          <w:color w:val="000000"/>
          <w:spacing w:val="0"/>
          <w:w w:val="100"/>
          <w:position w:val="0"/>
          <w:sz w:val="24"/>
          <w:szCs w:val="24"/>
          <w:shd w:val="clear" w:color="auto" w:fill="auto"/>
        </w:rPr>
        <w:t>5局地代表性</w:t>
      </w:r>
    </w:p>
    <w:p>
      <w:pPr>
        <w:pStyle w:val="9"/>
        <w:keepNext w:val="0"/>
        <w:keepLines w:val="0"/>
        <w:widowControl w:val="0"/>
        <w:shd w:val="clear" w:color="auto" w:fill="auto"/>
        <w:bidi w:val="0"/>
        <w:spacing w:before="0" w:after="180" w:line="314" w:lineRule="exact"/>
        <w:ind w:left="0" w:right="0" w:firstLine="440"/>
        <w:jc w:val="left"/>
        <w:rPr>
          <w:sz w:val="24"/>
          <w:szCs w:val="24"/>
        </w:rPr>
      </w:pPr>
      <w:r>
        <w:rPr>
          <w:color w:val="000000"/>
          <w:spacing w:val="0"/>
          <w:w w:val="100"/>
          <w:position w:val="0"/>
          <w:sz w:val="24"/>
          <w:szCs w:val="24"/>
          <w:shd w:val="clear" w:color="auto" w:fill="auto"/>
        </w:rPr>
        <w:t>样点应体现局地尺度上典型的土壤类型。</w:t>
      </w:r>
    </w:p>
    <w:p>
      <w:pPr>
        <w:pStyle w:val="9"/>
        <w:keepNext w:val="0"/>
        <w:keepLines w:val="0"/>
        <w:widowControl w:val="0"/>
        <w:numPr>
          <w:ilvl w:val="0"/>
          <w:numId w:val="0"/>
        </w:numPr>
        <w:shd w:val="clear" w:color="auto" w:fill="auto"/>
        <w:tabs>
          <w:tab w:val="left" w:pos="349"/>
        </w:tabs>
        <w:bidi w:val="0"/>
        <w:spacing w:before="0" w:after="120" w:line="314" w:lineRule="exact"/>
        <w:ind w:leftChars="0" w:right="0" w:rightChars="0"/>
        <w:jc w:val="left"/>
        <w:rPr>
          <w:rFonts w:hint="eastAsia" w:asciiTheme="majorEastAsia" w:hAnsiTheme="majorEastAsia" w:eastAsiaTheme="majorEastAsia" w:cstheme="majorEastAsia"/>
          <w:b/>
          <w:bCs/>
          <w:i w:val="0"/>
          <w:iCs w:val="0"/>
          <w:sz w:val="24"/>
          <w:szCs w:val="24"/>
        </w:rPr>
      </w:pPr>
      <w:r>
        <w:rPr>
          <w:rFonts w:hint="eastAsia" w:asciiTheme="majorEastAsia" w:hAnsiTheme="majorEastAsia" w:eastAsiaTheme="majorEastAsia" w:cstheme="majorEastAsia"/>
          <w:b/>
          <w:bCs/>
          <w:i w:val="0"/>
          <w:iCs w:val="0"/>
          <w:color w:val="000000"/>
          <w:spacing w:val="0"/>
          <w:w w:val="100"/>
          <w:position w:val="0"/>
          <w:sz w:val="24"/>
          <w:szCs w:val="24"/>
          <w:shd w:val="clear" w:color="auto" w:fill="auto"/>
          <w:lang w:val="en-US" w:eastAsia="zh-CN"/>
        </w:rPr>
        <w:t>3.</w:t>
      </w:r>
      <w:r>
        <w:rPr>
          <w:rFonts w:hint="eastAsia" w:asciiTheme="majorEastAsia" w:hAnsiTheme="majorEastAsia" w:eastAsiaTheme="majorEastAsia" w:cstheme="majorEastAsia"/>
          <w:b/>
          <w:bCs/>
          <w:i w:val="0"/>
          <w:iCs w:val="0"/>
          <w:color w:val="000000"/>
          <w:spacing w:val="0"/>
          <w:w w:val="100"/>
          <w:position w:val="0"/>
          <w:sz w:val="24"/>
          <w:szCs w:val="24"/>
          <w:shd w:val="clear" w:color="auto" w:fill="auto"/>
        </w:rPr>
        <w:t>6缩略语</w:t>
      </w:r>
    </w:p>
    <w:p>
      <w:pPr>
        <w:pStyle w:val="9"/>
        <w:keepNext w:val="0"/>
        <w:keepLines w:val="0"/>
        <w:widowControl w:val="0"/>
        <w:numPr>
          <w:ilvl w:val="0"/>
          <w:numId w:val="0"/>
        </w:numPr>
        <w:shd w:val="clear" w:color="auto" w:fill="auto"/>
        <w:tabs>
          <w:tab w:val="left" w:pos="918"/>
        </w:tabs>
        <w:bidi w:val="0"/>
        <w:spacing w:before="0" w:after="140" w:line="314" w:lineRule="exact"/>
        <w:ind w:left="440" w:leftChars="0" w:right="0" w:rightChars="0"/>
        <w:jc w:val="left"/>
      </w:pPr>
      <w:r>
        <w:rPr>
          <w:rFonts w:hint="eastAsia"/>
          <w:color w:val="000000"/>
          <w:spacing w:val="0"/>
          <w:w w:val="100"/>
          <w:position w:val="0"/>
          <w:sz w:val="24"/>
          <w:szCs w:val="24"/>
          <w:shd w:val="clear" w:color="auto" w:fill="auto"/>
          <w:lang w:val="en-US" w:eastAsia="zh-CN" w:bidi="en-US"/>
        </w:rPr>
        <w:t>(1)</w:t>
      </w:r>
      <w:r>
        <w:rPr>
          <w:rFonts w:hint="default" w:ascii="Arial" w:hAnsi="Arial" w:cs="Arial"/>
          <w:color w:val="000000"/>
          <w:spacing w:val="0"/>
          <w:w w:val="100"/>
          <w:position w:val="0"/>
          <w:sz w:val="24"/>
          <w:szCs w:val="24"/>
          <w:shd w:val="clear" w:color="auto" w:fill="auto"/>
          <w:lang w:val="en-US" w:eastAsia="en-US" w:bidi="en-US"/>
        </w:rPr>
        <w:t>DEM</w:t>
      </w:r>
      <w:r>
        <w:rPr>
          <w:rFonts w:hint="default" w:ascii="Arial" w:hAnsi="Arial" w:cs="Arial"/>
          <w:color w:val="000000"/>
          <w:spacing w:val="0"/>
          <w:w w:val="100"/>
          <w:position w:val="0"/>
          <w:sz w:val="24"/>
          <w:szCs w:val="24"/>
          <w:shd w:val="clear" w:color="auto" w:fill="auto"/>
        </w:rPr>
        <w:t>：</w:t>
      </w:r>
      <w:r>
        <w:rPr>
          <w:rFonts w:hint="default" w:ascii="Arial" w:hAnsi="Arial" w:cs="Arial"/>
          <w:color w:val="000000"/>
          <w:spacing w:val="0"/>
          <w:w w:val="100"/>
          <w:position w:val="0"/>
          <w:sz w:val="24"/>
          <w:szCs w:val="24"/>
          <w:shd w:val="clear" w:color="auto" w:fill="auto"/>
          <w:lang w:val="en-US" w:eastAsia="en-US" w:bidi="en-US"/>
        </w:rPr>
        <w:t>digital elevation model</w:t>
      </w:r>
      <w:r>
        <w:rPr>
          <w:color w:val="000000"/>
          <w:spacing w:val="0"/>
          <w:w w:val="100"/>
          <w:position w:val="0"/>
          <w:sz w:val="24"/>
          <w:szCs w:val="24"/>
          <w:shd w:val="clear" w:color="auto" w:fill="auto"/>
          <w:lang w:val="en-US" w:eastAsia="en-US" w:bidi="en-US"/>
        </w:rPr>
        <w:t>,</w:t>
      </w:r>
      <w:r>
        <w:rPr>
          <w:color w:val="000000"/>
          <w:spacing w:val="0"/>
          <w:w w:val="100"/>
          <w:position w:val="0"/>
          <w:sz w:val="24"/>
          <w:szCs w:val="24"/>
          <w:shd w:val="clear" w:color="auto" w:fill="auto"/>
        </w:rPr>
        <w:t>数字高程模型。</w:t>
      </w:r>
      <w:r>
        <w:br w:type="page"/>
      </w:r>
    </w:p>
    <w:p>
      <w:pPr>
        <w:pStyle w:val="9"/>
        <w:keepNext w:val="0"/>
        <w:keepLines w:val="0"/>
        <w:widowControl w:val="0"/>
        <w:numPr>
          <w:ilvl w:val="0"/>
          <w:numId w:val="0"/>
        </w:numPr>
        <w:shd w:val="clear" w:color="auto" w:fill="auto"/>
        <w:tabs>
          <w:tab w:val="left" w:pos="923"/>
        </w:tabs>
        <w:bidi w:val="0"/>
        <w:spacing w:before="0" w:after="0" w:line="240" w:lineRule="auto"/>
        <w:ind w:left="440" w:leftChars="0" w:right="0" w:right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(2)</w:t>
      </w:r>
      <w:r>
        <w:rPr>
          <w:rFonts w:hint="default" w:ascii="Arial" w:hAnsi="Arial" w:cs="Arial" w:eastAsiaTheme="minorEastAsia"/>
          <w:color w:val="000000"/>
          <w:spacing w:val="0"/>
          <w:w w:val="100"/>
          <w:position w:val="0"/>
          <w:sz w:val="24"/>
          <w:szCs w:val="24"/>
          <w:shd w:val="clear" w:color="auto" w:fill="auto"/>
          <w:lang w:val="en-US" w:eastAsia="en-US" w:bidi="en-US"/>
        </w:rPr>
        <w:t>GIS</w:t>
      </w:r>
      <w:r>
        <w:rPr>
          <w:rFonts w:hint="default" w:ascii="Arial" w:hAnsi="Arial" w:cs="Arial" w:eastAsiaTheme="minorEastAsia"/>
          <w:color w:val="000000"/>
          <w:spacing w:val="0"/>
          <w:w w:val="100"/>
          <w:position w:val="0"/>
          <w:sz w:val="24"/>
          <w:szCs w:val="24"/>
          <w:shd w:val="clear" w:color="auto" w:fill="auto"/>
        </w:rPr>
        <w:t xml:space="preserve">： </w:t>
      </w:r>
      <w:r>
        <w:rPr>
          <w:rFonts w:hint="default" w:ascii="Arial" w:hAnsi="Arial" w:cs="Arial" w:eastAsiaTheme="minorEastAsia"/>
          <w:color w:val="000000"/>
          <w:spacing w:val="0"/>
          <w:w w:val="100"/>
          <w:position w:val="0"/>
          <w:sz w:val="24"/>
          <w:szCs w:val="24"/>
          <w:shd w:val="clear" w:color="auto" w:fill="auto"/>
          <w:lang w:val="en-US" w:eastAsia="en-US" w:bidi="en-US"/>
        </w:rPr>
        <w:t>geographic information system</w:t>
      </w:r>
      <w:r>
        <w:rPr>
          <w:rFonts w:hint="default" w:ascii="Arial" w:hAnsi="Arial" w:cs="Arial" w:eastAsia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rPr>
        <w:t>地理信息系统。</w:t>
      </w:r>
    </w:p>
    <w:p>
      <w:pPr>
        <w:pStyle w:val="9"/>
        <w:keepNext w:val="0"/>
        <w:keepLines w:val="0"/>
        <w:widowControl w:val="0"/>
        <w:numPr>
          <w:ilvl w:val="0"/>
          <w:numId w:val="0"/>
        </w:numPr>
        <w:shd w:val="clear" w:color="auto" w:fill="auto"/>
        <w:tabs>
          <w:tab w:val="left" w:pos="923"/>
        </w:tabs>
        <w:bidi w:val="0"/>
        <w:spacing w:before="0" w:after="0" w:line="240" w:lineRule="auto"/>
        <w:ind w:left="440" w:leftChars="0" w:right="0" w:right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(3)</w:t>
      </w:r>
      <w:r>
        <w:rPr>
          <w:rFonts w:hint="eastAsia" w:ascii="Arial" w:hAnsi="Arial" w:cs="Arial" w:eastAsiaTheme="minorEastAsia"/>
          <w:color w:val="000000"/>
          <w:spacing w:val="0"/>
          <w:w w:val="100"/>
          <w:position w:val="0"/>
          <w:sz w:val="24"/>
          <w:szCs w:val="24"/>
          <w:shd w:val="clear" w:color="auto" w:fill="auto"/>
          <w:lang w:val="en-US" w:eastAsia="zh-CN" w:bidi="en-US"/>
        </w:rPr>
        <w:t xml:space="preserve"> </w:t>
      </w:r>
      <w:r>
        <w:rPr>
          <w:rFonts w:hint="default" w:ascii="Arial" w:hAnsi="Arial" w:cs="Arial" w:eastAsiaTheme="minorEastAsia"/>
          <w:color w:val="000000"/>
          <w:spacing w:val="0"/>
          <w:w w:val="100"/>
          <w:position w:val="0"/>
          <w:sz w:val="24"/>
          <w:szCs w:val="24"/>
          <w:shd w:val="clear" w:color="auto" w:fill="auto"/>
          <w:lang w:val="en-US" w:eastAsia="en-US" w:bidi="en-US"/>
        </w:rPr>
        <w:t>RS</w:t>
      </w:r>
      <w:r>
        <w:rPr>
          <w:rFonts w:hint="default" w:ascii="Arial" w:hAnsi="Arial" w:cs="Arial" w:eastAsiaTheme="minorEastAsia"/>
          <w:color w:val="000000"/>
          <w:spacing w:val="0"/>
          <w:w w:val="100"/>
          <w:position w:val="0"/>
          <w:sz w:val="24"/>
          <w:szCs w:val="24"/>
          <w:shd w:val="clear" w:color="auto" w:fill="auto"/>
        </w:rPr>
        <w:t xml:space="preserve">： </w:t>
      </w:r>
      <w:r>
        <w:rPr>
          <w:rFonts w:hint="default" w:ascii="Arial" w:hAnsi="Arial" w:cs="Arial" w:eastAsiaTheme="minorEastAsia"/>
          <w:color w:val="000000"/>
          <w:spacing w:val="0"/>
          <w:w w:val="100"/>
          <w:position w:val="0"/>
          <w:sz w:val="24"/>
          <w:szCs w:val="24"/>
          <w:shd w:val="clear" w:color="auto" w:fill="auto"/>
          <w:lang w:val="en-US" w:eastAsia="en-US" w:bidi="en-US"/>
        </w:rPr>
        <w:t>remote sensing</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w:t>
      </w:r>
      <w:r>
        <w:rPr>
          <w:rFonts w:hint="eastAsia" w:asciiTheme="minorEastAsia" w:hAnsiTheme="minorEastAsia" w:eastAsiaTheme="minorEastAsia" w:cstheme="minorEastAsia"/>
          <w:color w:val="000000"/>
          <w:spacing w:val="0"/>
          <w:w w:val="100"/>
          <w:position w:val="0"/>
          <w:sz w:val="24"/>
          <w:szCs w:val="24"/>
          <w:shd w:val="clear" w:color="auto" w:fill="auto"/>
        </w:rPr>
        <w:t>遥感。</w:t>
      </w:r>
    </w:p>
    <w:p>
      <w:pPr>
        <w:pStyle w:val="9"/>
        <w:keepNext w:val="0"/>
        <w:keepLines w:val="0"/>
        <w:widowControl w:val="0"/>
        <w:numPr>
          <w:ilvl w:val="0"/>
          <w:numId w:val="0"/>
        </w:numPr>
        <w:shd w:val="clear" w:color="auto" w:fill="auto"/>
        <w:tabs>
          <w:tab w:val="left" w:pos="923"/>
        </w:tabs>
        <w:bidi w:val="0"/>
        <w:spacing w:before="0" w:after="240" w:line="240" w:lineRule="auto"/>
        <w:ind w:left="440" w:leftChars="0" w:right="0" w:right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(4)</w:t>
      </w:r>
      <w:r>
        <w:rPr>
          <w:rFonts w:hint="default" w:ascii="Arial" w:hAnsi="Arial" w:cs="Arial" w:eastAsiaTheme="minorEastAsia"/>
          <w:color w:val="000000"/>
          <w:spacing w:val="0"/>
          <w:w w:val="100"/>
          <w:position w:val="0"/>
          <w:sz w:val="24"/>
          <w:szCs w:val="24"/>
          <w:shd w:val="clear" w:color="auto" w:fill="auto"/>
          <w:lang w:val="en-US" w:eastAsia="en-US" w:bidi="en-US"/>
        </w:rPr>
        <w:t>GPS： global positioning system</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w:t>
      </w:r>
      <w:r>
        <w:rPr>
          <w:rFonts w:hint="eastAsia" w:asciiTheme="minorEastAsia" w:hAnsiTheme="minorEastAsia" w:eastAsiaTheme="minorEastAsia" w:cstheme="minorEastAsia"/>
          <w:color w:val="000000"/>
          <w:spacing w:val="0"/>
          <w:w w:val="100"/>
          <w:position w:val="0"/>
          <w:sz w:val="24"/>
          <w:szCs w:val="24"/>
          <w:shd w:val="clear" w:color="auto" w:fill="auto"/>
        </w:rPr>
        <w:t>全球定位系统。</w:t>
      </w:r>
    </w:p>
    <w:p>
      <w:pPr>
        <w:pStyle w:val="13"/>
        <w:keepNext/>
        <w:keepLines/>
        <w:widowControl w:val="0"/>
        <w:shd w:val="clear" w:color="auto" w:fill="auto"/>
        <w:bidi w:val="0"/>
        <w:spacing w:before="0" w:after="440" w:line="240" w:lineRule="auto"/>
        <w:ind w:left="0" w:right="0" w:firstLine="0"/>
        <w:jc w:val="left"/>
        <w:rPr>
          <w:rFonts w:hint="eastAsia" w:asciiTheme="majorEastAsia" w:hAnsiTheme="majorEastAsia" w:eastAsiaTheme="majorEastAsia" w:cstheme="majorEastAsia"/>
          <w:b/>
          <w:bCs/>
          <w:sz w:val="30"/>
          <w:szCs w:val="30"/>
        </w:rPr>
      </w:pPr>
      <w:bookmarkStart w:id="5" w:name="bookmark10"/>
      <w:r>
        <w:rPr>
          <w:rFonts w:hint="eastAsia" w:asciiTheme="majorEastAsia" w:hAnsiTheme="majorEastAsia" w:eastAsiaTheme="majorEastAsia" w:cstheme="majorEastAsia"/>
          <w:b/>
          <w:bCs/>
          <w:color w:val="000000"/>
          <w:spacing w:val="0"/>
          <w:w w:val="100"/>
          <w:position w:val="0"/>
          <w:sz w:val="30"/>
          <w:szCs w:val="30"/>
          <w:shd w:val="clear" w:color="auto" w:fill="auto"/>
        </w:rPr>
        <w:t>4</w:t>
      </w:r>
      <w:r>
        <w:rPr>
          <w:rFonts w:hint="eastAsia" w:asciiTheme="majorEastAsia" w:hAnsiTheme="majorEastAsia" w:eastAsiaTheme="majorEastAsia" w:cstheme="majorEastAsia"/>
          <w:b/>
          <w:bCs/>
          <w:color w:val="000000"/>
          <w:spacing w:val="0"/>
          <w:w w:val="100"/>
          <w:position w:val="0"/>
          <w:sz w:val="30"/>
          <w:szCs w:val="30"/>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30"/>
          <w:szCs w:val="30"/>
          <w:shd w:val="clear" w:color="auto" w:fill="auto"/>
        </w:rPr>
        <w:t>工作底图制作与样点预布设</w:t>
      </w:r>
      <w:bookmarkEnd w:id="5"/>
    </w:p>
    <w:p>
      <w:pPr>
        <w:pStyle w:val="9"/>
        <w:keepNext w:val="0"/>
        <w:keepLines w:val="0"/>
        <w:widowControl w:val="0"/>
        <w:numPr>
          <w:ilvl w:val="0"/>
          <w:numId w:val="0"/>
        </w:numPr>
        <w:shd w:val="clear" w:color="auto" w:fill="auto"/>
        <w:tabs>
          <w:tab w:val="left" w:pos="354"/>
        </w:tabs>
        <w:bidi w:val="0"/>
        <w:spacing w:before="0" w:after="100" w:line="240" w:lineRule="auto"/>
        <w:ind w:leftChars="0" w:right="0" w:rightChars="0"/>
        <w:jc w:val="both"/>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4.</w:t>
      </w:r>
      <w:r>
        <w:rPr>
          <w:rFonts w:hint="eastAsia" w:asciiTheme="majorEastAsia" w:hAnsiTheme="majorEastAsia" w:eastAsiaTheme="majorEastAsia" w:cstheme="majorEastAsia"/>
          <w:b/>
          <w:bCs/>
          <w:color w:val="000000"/>
          <w:spacing w:val="0"/>
          <w:w w:val="100"/>
          <w:position w:val="0"/>
          <w:sz w:val="24"/>
          <w:szCs w:val="24"/>
          <w:shd w:val="clear" w:color="auto" w:fill="auto"/>
        </w:rPr>
        <w:t>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工作底图制作</w:t>
      </w:r>
    </w:p>
    <w:p>
      <w:pPr>
        <w:pStyle w:val="9"/>
        <w:keepNext w:val="0"/>
        <w:keepLines w:val="0"/>
        <w:widowControl w:val="0"/>
        <w:shd w:val="clear" w:color="auto" w:fill="auto"/>
        <w:bidi w:val="0"/>
        <w:spacing w:before="0" w:after="0" w:line="318"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遵循土壤普查的全面性、科学性原则，以遥感技术、地理信息系统、全球定位系统等技术手段为支撑，以二普土壤图、国土三调土地利用现状图、</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DEM</w:t>
      </w:r>
      <w:r>
        <w:rPr>
          <w:rFonts w:hint="eastAsia" w:asciiTheme="minorEastAsia" w:hAnsiTheme="minorEastAsia" w:eastAsiaTheme="minorEastAsia" w:cstheme="minorEastAsia"/>
          <w:color w:val="000000"/>
          <w:spacing w:val="0"/>
          <w:w w:val="100"/>
          <w:position w:val="0"/>
          <w:sz w:val="24"/>
          <w:szCs w:val="24"/>
          <w:shd w:val="clear" w:color="auto" w:fill="auto"/>
        </w:rPr>
        <w:t>等为基础图件，按照</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技术规程(试行)》要求，统一制作满足普查精度与面积计算统计要求和不同层级使用的土壤三普工作底图。工作底图制作是样点布设的前提条件，工作底图为外业调查指明位置与范围，同时也是成果汇总的基础图件。</w:t>
      </w:r>
    </w:p>
    <w:p>
      <w:pPr>
        <w:pStyle w:val="21"/>
        <w:keepNext/>
        <w:keepLines/>
        <w:widowControl w:val="0"/>
        <w:numPr>
          <w:ilvl w:val="0"/>
          <w:numId w:val="0"/>
        </w:numPr>
        <w:shd w:val="clear" w:color="auto" w:fill="auto"/>
        <w:tabs>
          <w:tab w:val="left" w:pos="817"/>
        </w:tabs>
        <w:bidi w:val="0"/>
        <w:spacing w:before="0" w:after="0" w:line="318" w:lineRule="exact"/>
        <w:ind w:leftChars="0" w:right="0" w:rightChars="0"/>
        <w:jc w:val="left"/>
        <w:rPr>
          <w:rFonts w:hint="eastAsia" w:asciiTheme="majorEastAsia" w:hAnsiTheme="majorEastAsia" w:eastAsiaTheme="majorEastAsia" w:cstheme="majorEastAsia"/>
          <w:b/>
          <w:bCs/>
          <w:sz w:val="24"/>
          <w:szCs w:val="24"/>
        </w:rPr>
      </w:pPr>
      <w:bookmarkStart w:id="6" w:name="bookmark12"/>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4.1.1  </w:t>
      </w:r>
      <w:r>
        <w:rPr>
          <w:rFonts w:hint="eastAsia" w:asciiTheme="majorEastAsia" w:hAnsiTheme="majorEastAsia" w:eastAsiaTheme="majorEastAsia" w:cstheme="majorEastAsia"/>
          <w:b/>
          <w:bCs/>
          <w:color w:val="000000"/>
          <w:spacing w:val="0"/>
          <w:w w:val="100"/>
          <w:position w:val="0"/>
          <w:sz w:val="24"/>
          <w:szCs w:val="24"/>
          <w:shd w:val="clear" w:color="auto" w:fill="auto"/>
        </w:rPr>
        <w:t>基础资料准备</w:t>
      </w:r>
      <w:bookmarkEnd w:id="6"/>
    </w:p>
    <w:p>
      <w:pPr>
        <w:pStyle w:val="9"/>
        <w:keepNext w:val="0"/>
        <w:keepLines w:val="0"/>
        <w:widowControl w:val="0"/>
        <w:numPr>
          <w:ilvl w:val="0"/>
          <w:numId w:val="0"/>
        </w:numPr>
        <w:shd w:val="clear" w:color="auto" w:fill="auto"/>
        <w:tabs>
          <w:tab w:val="left" w:pos="915"/>
        </w:tabs>
        <w:bidi w:val="0"/>
        <w:spacing w:before="0" w:after="0" w:line="318" w:lineRule="exact"/>
        <w:ind w:left="440" w:leftChars="0" w:right="0" w:right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1）</w:t>
      </w:r>
      <w:r>
        <w:rPr>
          <w:rFonts w:hint="eastAsia" w:asciiTheme="minorEastAsia" w:hAnsiTheme="minorEastAsia" w:eastAsiaTheme="minorEastAsia" w:cstheme="minorEastAsia"/>
          <w:color w:val="000000"/>
          <w:spacing w:val="0"/>
          <w:w w:val="100"/>
          <w:position w:val="0"/>
          <w:sz w:val="24"/>
          <w:szCs w:val="24"/>
          <w:shd w:val="clear" w:color="auto" w:fill="auto"/>
        </w:rPr>
        <w:t>土壤图：二普1：5万数字土壤图(细分至土种，部分地区土属。按照</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第三次全国土壤普查暂行土壤分类系统(试行)》，完成土壤类型各级名称的校准。按行政单元下发)。</w:t>
      </w:r>
    </w:p>
    <w:p>
      <w:pPr>
        <w:pStyle w:val="9"/>
        <w:keepNext w:val="0"/>
        <w:keepLines w:val="0"/>
        <w:widowControl w:val="0"/>
        <w:numPr>
          <w:ilvl w:val="0"/>
          <w:numId w:val="0"/>
        </w:numPr>
        <w:shd w:val="clear" w:color="auto" w:fill="auto"/>
        <w:tabs>
          <w:tab w:val="left" w:pos="1323"/>
        </w:tabs>
        <w:bidi w:val="0"/>
        <w:spacing w:before="0" w:after="0" w:line="318" w:lineRule="exact"/>
        <w:ind w:left="440" w:leftChars="0" w:right="0" w:right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2）</w:t>
      </w:r>
      <w:r>
        <w:rPr>
          <w:rFonts w:hint="eastAsia" w:asciiTheme="minorEastAsia" w:hAnsiTheme="minorEastAsia" w:eastAsiaTheme="minorEastAsia" w:cstheme="minorEastAsia"/>
          <w:color w:val="000000"/>
          <w:spacing w:val="0"/>
          <w:w w:val="100"/>
          <w:position w:val="0"/>
          <w:sz w:val="24"/>
          <w:szCs w:val="24"/>
          <w:shd w:val="clear" w:color="auto" w:fill="auto"/>
        </w:rPr>
        <w:t>土地利用现状图：国土三调1:1万土地利用现状图。</w:t>
      </w:r>
    </w:p>
    <w:p>
      <w:pPr>
        <w:pStyle w:val="9"/>
        <w:keepNext w:val="0"/>
        <w:keepLines w:val="0"/>
        <w:widowControl w:val="0"/>
        <w:shd w:val="clear" w:color="auto" w:fill="auto"/>
        <w:bidi w:val="0"/>
        <w:spacing w:before="0" w:after="0" w:line="318"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3）</w:t>
      </w:r>
      <w:r>
        <w:rPr>
          <w:rFonts w:hint="eastAsia" w:asciiTheme="minorEastAsia" w:hAnsiTheme="minorEastAsia" w:eastAsiaTheme="minorEastAsia" w:cstheme="minorEastAsia"/>
          <w:color w:val="000000"/>
          <w:spacing w:val="0"/>
          <w:w w:val="100"/>
          <w:position w:val="0"/>
          <w:sz w:val="24"/>
          <w:szCs w:val="24"/>
          <w:shd w:val="clear" w:color="auto" w:fill="auto"/>
        </w:rPr>
        <w:t>行政区划图：2020年1：1万全国行政区划图(国家、省、县、乡、村界)。</w:t>
      </w:r>
    </w:p>
    <w:p>
      <w:pPr>
        <w:pStyle w:val="9"/>
        <w:keepNext w:val="0"/>
        <w:keepLines w:val="0"/>
        <w:widowControl w:val="0"/>
        <w:shd w:val="clear" w:color="auto" w:fill="auto"/>
        <w:bidi w:val="0"/>
        <w:spacing w:before="0" w:after="0" w:line="318"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4）</w:t>
      </w:r>
      <w:r>
        <w:rPr>
          <w:rFonts w:hint="eastAsia" w:asciiTheme="minorEastAsia" w:hAnsiTheme="minorEastAsia" w:eastAsiaTheme="minorEastAsia" w:cstheme="minorEastAsia"/>
          <w:color w:val="000000"/>
          <w:spacing w:val="0"/>
          <w:w w:val="100"/>
          <w:position w:val="0"/>
          <w:sz w:val="24"/>
          <w:szCs w:val="24"/>
          <w:shd w:val="clear" w:color="auto" w:fill="auto"/>
        </w:rPr>
        <w:t>全国地理标志农产品区分布数据：根据各地提供的地理标志农产品区汇总统计表，结合国土三调行政区划图生成。</w:t>
      </w:r>
    </w:p>
    <w:p>
      <w:pPr>
        <w:pStyle w:val="9"/>
        <w:keepNext w:val="0"/>
        <w:keepLines w:val="0"/>
        <w:widowControl w:val="0"/>
        <w:shd w:val="clear" w:color="auto" w:fill="auto"/>
        <w:bidi w:val="0"/>
        <w:spacing w:before="0" w:after="0" w:line="318" w:lineRule="exact"/>
        <w:ind w:right="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5）</w:t>
      </w:r>
      <w:r>
        <w:rPr>
          <w:rFonts w:hint="eastAsia" w:asciiTheme="minorEastAsia" w:hAnsiTheme="minorEastAsia" w:eastAsiaTheme="minorEastAsia" w:cstheme="minorEastAsia"/>
          <w:color w:val="000000"/>
          <w:spacing w:val="0"/>
          <w:w w:val="100"/>
          <w:position w:val="0"/>
          <w:sz w:val="24"/>
          <w:szCs w:val="24"/>
          <w:shd w:val="clear" w:color="auto" w:fill="auto"/>
        </w:rPr>
        <w:t>全国与食物生产有关的林地分布数据:国家林业和草原局提供的经济林分布图。</w:t>
      </w:r>
    </w:p>
    <w:p>
      <w:pPr>
        <w:pStyle w:val="9"/>
        <w:keepNext w:val="0"/>
        <w:keepLines w:val="0"/>
        <w:widowControl w:val="0"/>
        <w:shd w:val="clear" w:color="auto" w:fill="auto"/>
        <w:bidi w:val="0"/>
        <w:spacing w:before="0" w:after="0" w:line="318" w:lineRule="exact"/>
        <w:ind w:right="0"/>
        <w:jc w:val="both"/>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6）</w:t>
      </w:r>
      <w:r>
        <w:rPr>
          <w:rFonts w:hint="eastAsia" w:asciiTheme="minorEastAsia" w:hAnsiTheme="minorEastAsia" w:eastAsiaTheme="minorEastAsia" w:cstheme="minorEastAsia"/>
          <w:color w:val="000000"/>
          <w:spacing w:val="0"/>
          <w:w w:val="100"/>
          <w:position w:val="0"/>
          <w:sz w:val="24"/>
          <w:szCs w:val="24"/>
          <w:shd w:val="clear" w:color="auto" w:fill="auto"/>
        </w:rPr>
        <w:t>土地利用类型变更矢量图：</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2009—2020</w:t>
      </w:r>
      <w:r>
        <w:rPr>
          <w:rFonts w:hint="eastAsia" w:asciiTheme="minorEastAsia" w:hAnsiTheme="minorEastAsia" w:eastAsiaTheme="minorEastAsia" w:cstheme="minorEastAsia"/>
          <w:color w:val="000000"/>
          <w:spacing w:val="0"/>
          <w:w w:val="100"/>
          <w:position w:val="0"/>
          <w:sz w:val="24"/>
          <w:szCs w:val="24"/>
          <w:shd w:val="clear" w:color="auto" w:fill="auto"/>
        </w:rPr>
        <w:t>年1:1万土地利用类型变更矢量图(含耕地类型</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变更）。        </w:t>
      </w:r>
    </w:p>
    <w:p>
      <w:pPr>
        <w:pStyle w:val="9"/>
        <w:keepNext w:val="0"/>
        <w:keepLines w:val="0"/>
        <w:widowControl w:val="0"/>
        <w:shd w:val="clear" w:color="auto" w:fill="auto"/>
        <w:bidi w:val="0"/>
        <w:spacing w:before="0" w:after="0" w:line="240" w:lineRule="auto"/>
        <w:ind w:right="0"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7）</w:t>
      </w:r>
      <w:r>
        <w:rPr>
          <w:rFonts w:hint="eastAsia" w:asciiTheme="minorEastAsia" w:hAnsiTheme="minorEastAsia" w:eastAsiaTheme="minorEastAsia" w:cstheme="minorEastAsia"/>
          <w:color w:val="000000"/>
          <w:spacing w:val="0"/>
          <w:w w:val="100"/>
          <w:position w:val="0"/>
          <w:sz w:val="24"/>
          <w:szCs w:val="24"/>
          <w:shd w:val="clear" w:color="auto" w:fill="auto"/>
        </w:rPr>
        <w:t>全国土壤母质图：利用1：50万地质图生成土壤母质图。</w:t>
      </w:r>
    </w:p>
    <w:p>
      <w:pPr>
        <w:pStyle w:val="9"/>
        <w:keepNext w:val="0"/>
        <w:keepLines w:val="0"/>
        <w:widowControl w:val="0"/>
        <w:shd w:val="clear" w:color="auto" w:fill="auto"/>
        <w:bidi w:val="0"/>
        <w:spacing w:before="0" w:after="0" w:line="240" w:lineRule="auto"/>
        <w:ind w:left="0" w:right="0"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8）</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DEM</w:t>
      </w:r>
      <w:r>
        <w:rPr>
          <w:rFonts w:hint="eastAsia" w:asciiTheme="minorEastAsia" w:hAnsiTheme="minorEastAsia" w:eastAsiaTheme="minorEastAsia" w:cstheme="minorEastAsia"/>
          <w:color w:val="000000"/>
          <w:spacing w:val="0"/>
          <w:w w:val="100"/>
          <w:position w:val="0"/>
          <w:sz w:val="24"/>
          <w:szCs w:val="24"/>
          <w:shd w:val="clear" w:color="auto" w:fill="auto"/>
        </w:rPr>
        <w:t>数据：全国</w:t>
      </w:r>
      <w:r>
        <w:rPr>
          <w:rFonts w:hint="default" w:ascii="Arial" w:hAnsi="Arial" w:cs="Arial" w:eastAsiaTheme="minorEastAsia"/>
          <w:color w:val="000000"/>
          <w:spacing w:val="0"/>
          <w:w w:val="100"/>
          <w:position w:val="0"/>
          <w:sz w:val="24"/>
          <w:szCs w:val="24"/>
          <w:shd w:val="clear" w:color="auto" w:fill="auto"/>
          <w:lang w:val="en-US" w:eastAsia="en-US" w:bidi="en-US"/>
        </w:rPr>
        <w:t>ASTER GDEM</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 xml:space="preserve"> </w:t>
      </w:r>
      <w:r>
        <w:rPr>
          <w:rFonts w:hint="default" w:ascii="Arial" w:hAnsi="Arial" w:cs="Arial" w:eastAsiaTheme="minorEastAsia"/>
          <w:color w:val="000000"/>
          <w:spacing w:val="0"/>
          <w:w w:val="100"/>
          <w:position w:val="0"/>
          <w:sz w:val="24"/>
          <w:szCs w:val="24"/>
          <w:shd w:val="clear" w:color="auto" w:fill="auto"/>
          <w:lang w:val="en-US" w:eastAsia="en-US" w:bidi="en-US"/>
        </w:rPr>
        <w:t>V3</w:t>
      </w:r>
      <w:r>
        <w:rPr>
          <w:rFonts w:hint="eastAsia" w:asciiTheme="minorEastAsia" w:hAnsiTheme="minorEastAsia" w:eastAsiaTheme="minorEastAsia" w:cstheme="minorEastAsia"/>
          <w:color w:val="000000"/>
          <w:spacing w:val="0"/>
          <w:w w:val="100"/>
          <w:position w:val="0"/>
          <w:sz w:val="24"/>
          <w:szCs w:val="24"/>
          <w:shd w:val="clear" w:color="auto" w:fill="auto"/>
        </w:rPr>
        <w:t>数据(空间分辨率30</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m,</w:t>
      </w:r>
      <w:r>
        <w:rPr>
          <w:rFonts w:hint="eastAsia" w:asciiTheme="minorEastAsia" w:hAnsiTheme="minorEastAsia" w:eastAsiaTheme="minorEastAsia" w:cstheme="minorEastAsia"/>
          <w:color w:val="000000"/>
          <w:spacing w:val="0"/>
          <w:w w:val="100"/>
          <w:position w:val="0"/>
          <w:sz w:val="24"/>
          <w:szCs w:val="24"/>
          <w:shd w:val="clear" w:color="auto" w:fill="auto"/>
        </w:rPr>
        <w:t>2019年)。</w:t>
      </w:r>
    </w:p>
    <w:p>
      <w:pPr>
        <w:pStyle w:val="9"/>
        <w:keepNext w:val="0"/>
        <w:keepLines w:val="0"/>
        <w:widowControl w:val="0"/>
        <w:shd w:val="clear" w:color="auto" w:fill="auto"/>
        <w:bidi w:val="0"/>
        <w:spacing w:before="0" w:after="0" w:line="240" w:lineRule="auto"/>
        <w:ind w:left="0" w:right="0"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9）</w:t>
      </w:r>
      <w:r>
        <w:rPr>
          <w:rFonts w:hint="eastAsia" w:asciiTheme="minorEastAsia" w:hAnsiTheme="minorEastAsia" w:eastAsiaTheme="minorEastAsia" w:cstheme="minorEastAsia"/>
          <w:color w:val="000000"/>
          <w:spacing w:val="0"/>
          <w:w w:val="100"/>
          <w:position w:val="0"/>
          <w:sz w:val="24"/>
          <w:szCs w:val="24"/>
          <w:shd w:val="clear" w:color="auto" w:fill="auto"/>
        </w:rPr>
        <w:t>中高分辨率遥感影像：</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30m</w:t>
      </w:r>
      <w:r>
        <w:rPr>
          <w:rFonts w:hint="eastAsia" w:asciiTheme="minorEastAsia" w:hAnsiTheme="minorEastAsia" w:eastAsiaTheme="minorEastAsia" w:cstheme="minorEastAsia"/>
          <w:color w:val="000000"/>
          <w:spacing w:val="0"/>
          <w:w w:val="100"/>
          <w:position w:val="0"/>
          <w:sz w:val="24"/>
          <w:szCs w:val="24"/>
          <w:shd w:val="clear" w:color="auto" w:fill="auto"/>
        </w:rPr>
        <w:t>空间分辨率、多光谱、最新时相。</w:t>
      </w:r>
    </w:p>
    <w:p>
      <w:pPr>
        <w:pStyle w:val="9"/>
        <w:keepNext w:val="0"/>
        <w:keepLines w:val="0"/>
        <w:widowControl w:val="0"/>
        <w:shd w:val="clear" w:color="auto" w:fill="auto"/>
        <w:bidi w:val="0"/>
        <w:spacing w:before="0" w:after="0" w:line="319" w:lineRule="exact"/>
        <w:ind w:right="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10）</w:t>
      </w:r>
      <w:r>
        <w:rPr>
          <w:rFonts w:hint="eastAsia" w:asciiTheme="minorEastAsia" w:hAnsiTheme="minorEastAsia" w:eastAsiaTheme="minorEastAsia" w:cstheme="minorEastAsia"/>
          <w:color w:val="000000"/>
          <w:spacing w:val="0"/>
          <w:w w:val="100"/>
          <w:position w:val="0"/>
          <w:sz w:val="24"/>
          <w:szCs w:val="24"/>
          <w:shd w:val="clear" w:color="auto" w:fill="auto"/>
        </w:rPr>
        <w:t>全国土壤污染调查点位图：生态环境部农用地土壤污染状况调查点位。</w:t>
      </w:r>
    </w:p>
    <w:p>
      <w:pPr>
        <w:pStyle w:val="9"/>
        <w:keepNext w:val="0"/>
        <w:keepLines w:val="0"/>
        <w:widowControl w:val="0"/>
        <w:shd w:val="clear" w:color="auto" w:fill="auto"/>
        <w:bidi w:val="0"/>
        <w:spacing w:before="0" w:after="0" w:line="319"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11）</w:t>
      </w:r>
      <w:r>
        <w:rPr>
          <w:rFonts w:hint="eastAsia" w:asciiTheme="minorEastAsia" w:hAnsiTheme="minorEastAsia" w:eastAsiaTheme="minorEastAsia" w:cstheme="minorEastAsia"/>
          <w:color w:val="000000"/>
          <w:spacing w:val="0"/>
          <w:w w:val="100"/>
          <w:position w:val="0"/>
          <w:sz w:val="24"/>
          <w:szCs w:val="24"/>
          <w:shd w:val="clear" w:color="auto" w:fill="auto"/>
        </w:rPr>
        <w:t>历年来剖面样点分布图：二普土壤剖面样点分布图、近十多年来的剖面调查样点分布图。注：此图非必备，但如果有，可以增强土壤三普工作效率和价值。</w:t>
      </w:r>
    </w:p>
    <w:p>
      <w:pPr>
        <w:pStyle w:val="21"/>
        <w:keepNext/>
        <w:keepLines/>
        <w:widowControl w:val="0"/>
        <w:numPr>
          <w:ilvl w:val="0"/>
          <w:numId w:val="0"/>
        </w:numPr>
        <w:shd w:val="clear" w:color="auto" w:fill="auto"/>
        <w:tabs>
          <w:tab w:val="left" w:pos="817"/>
        </w:tabs>
        <w:bidi w:val="0"/>
        <w:spacing w:before="0" w:after="0" w:line="319" w:lineRule="exact"/>
        <w:ind w:leftChars="0" w:right="0" w:rightChars="0"/>
        <w:jc w:val="both"/>
        <w:rPr>
          <w:rFonts w:hint="eastAsia" w:asciiTheme="majorEastAsia" w:hAnsiTheme="majorEastAsia" w:eastAsiaTheme="majorEastAsia" w:cstheme="majorEastAsia"/>
          <w:b/>
          <w:bCs/>
          <w:sz w:val="24"/>
          <w:szCs w:val="24"/>
        </w:rPr>
      </w:pPr>
      <w:bookmarkStart w:id="7" w:name="bookmark14"/>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4.1.2  </w:t>
      </w:r>
      <w:r>
        <w:rPr>
          <w:rFonts w:hint="eastAsia" w:asciiTheme="majorEastAsia" w:hAnsiTheme="majorEastAsia" w:eastAsiaTheme="majorEastAsia" w:cstheme="majorEastAsia"/>
          <w:b/>
          <w:bCs/>
          <w:color w:val="000000"/>
          <w:spacing w:val="0"/>
          <w:w w:val="100"/>
          <w:position w:val="0"/>
          <w:sz w:val="24"/>
          <w:szCs w:val="24"/>
          <w:shd w:val="clear" w:color="auto" w:fill="auto"/>
        </w:rPr>
        <w:t>基础数据处理</w:t>
      </w:r>
      <w:bookmarkEnd w:id="7"/>
    </w:p>
    <w:p>
      <w:pPr>
        <w:pStyle w:val="9"/>
        <w:keepNext w:val="0"/>
        <w:keepLines w:val="0"/>
        <w:widowControl w:val="0"/>
        <w:numPr>
          <w:ilvl w:val="0"/>
          <w:numId w:val="0"/>
        </w:numPr>
        <w:shd w:val="clear" w:color="auto" w:fill="auto"/>
        <w:tabs>
          <w:tab w:val="left" w:pos="817"/>
        </w:tabs>
        <w:bidi w:val="0"/>
        <w:spacing w:before="0" w:after="0" w:line="319" w:lineRule="exact"/>
        <w:ind w:leftChars="0" w:right="0" w:rightChars="0"/>
        <w:jc w:val="both"/>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4.</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1.2.1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数据标准化处理</w:t>
      </w:r>
    </w:p>
    <w:p>
      <w:pPr>
        <w:pStyle w:val="9"/>
        <w:keepNext w:val="0"/>
        <w:keepLines w:val="0"/>
        <w:widowControl w:val="0"/>
        <w:shd w:val="clear" w:color="auto" w:fill="auto"/>
        <w:bidi w:val="0"/>
        <w:spacing w:before="0" w:after="0" w:line="319"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坐标统一。</w:t>
      </w:r>
    </w:p>
    <w:p>
      <w:pPr>
        <w:pStyle w:val="9"/>
        <w:keepNext w:val="0"/>
        <w:keepLines w:val="0"/>
        <w:widowControl w:val="0"/>
        <w:shd w:val="clear" w:color="auto" w:fill="auto"/>
        <w:bidi w:val="0"/>
        <w:spacing w:before="0" w:after="0" w:line="319"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采用共同的数学基础(坐标系统采用“2000国家大地坐标系”,高程基准采用“1985国家高程基准”，投影方式采用高斯</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克吕格投影。1：10000、1：50000、1：250000比例尺标准分幅图或数据按3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分带)，统一各类矢量和栅格数据的地理坐标和投影方式。</w:t>
      </w:r>
    </w:p>
    <w:p>
      <w:pPr>
        <w:pStyle w:val="9"/>
        <w:keepNext w:val="0"/>
        <w:keepLines w:val="0"/>
        <w:widowControl w:val="0"/>
        <w:numPr>
          <w:ilvl w:val="0"/>
          <w:numId w:val="1"/>
        </w:numPr>
        <w:shd w:val="clear" w:color="auto" w:fill="auto"/>
        <w:bidi w:val="0"/>
        <w:spacing w:before="0" w:after="0" w:line="319"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空间配准。</w:t>
      </w:r>
    </w:p>
    <w:p>
      <w:pPr>
        <w:pStyle w:val="9"/>
        <w:keepNext w:val="0"/>
        <w:keepLines w:val="0"/>
        <w:widowControl w:val="0"/>
        <w:shd w:val="clear" w:color="auto" w:fill="auto"/>
        <w:bidi w:val="0"/>
        <w:spacing w:before="0" w:after="0" w:line="319"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以国土三调土地利用图斑数据和比例尺(1：10000)为基准，对不同比例尺的基础地图和专题图(二普土壤图、专题图、遥感影像及其他数据)进行空间配准,统一图件比例尺和图斑精度,为实现基础地图和专题图的空间叠加奠定基础。</w:t>
      </w:r>
    </w:p>
    <w:p>
      <w:pPr>
        <w:pStyle w:val="9"/>
        <w:keepNext w:val="0"/>
        <w:keepLines w:val="0"/>
        <w:widowControl w:val="0"/>
        <w:shd w:val="clear" w:color="auto" w:fill="auto"/>
        <w:bidi w:val="0"/>
        <w:spacing w:before="0" w:after="0" w:line="319"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土地利用图：从国土三调数据的“地类图斑”图层导出普查县的耕园林草盐碱地,作为工作底图制作需要的土地利用现状图。</w:t>
      </w:r>
    </w:p>
    <w:p>
      <w:pPr>
        <w:pStyle w:val="9"/>
        <w:keepNext w:val="0"/>
        <w:keepLines w:val="0"/>
        <w:widowControl w:val="0"/>
        <w:shd w:val="clear" w:color="auto" w:fill="auto"/>
        <w:bidi w:val="0"/>
        <w:spacing w:before="0" w:after="0" w:line="319"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二普土壤图：对二普土壤图进行地理清查、空间配准与坐标变换处理,并对土壤类型名称校准,作为工作底图制作需要的土壤图。</w:t>
      </w:r>
    </w:p>
    <w:p>
      <w:pPr>
        <w:pStyle w:val="9"/>
        <w:keepNext w:val="0"/>
        <w:keepLines w:val="0"/>
        <w:widowControl w:val="0"/>
        <w:shd w:val="clear" w:color="auto" w:fill="auto"/>
        <w:bidi w:val="0"/>
        <w:spacing w:before="0" w:after="0" w:line="322" w:lineRule="exact"/>
        <w:ind w:left="0" w:righ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土壤图配准精度，按照</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土壤制图1：50000和1：100000土壤图数字化规范》</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(GB/T 32738—</w:t>
      </w:r>
      <w:r>
        <w:rPr>
          <w:rFonts w:hint="eastAsia" w:asciiTheme="minorEastAsia" w:hAnsiTheme="minorEastAsia" w:eastAsiaTheme="minorEastAsia" w:cstheme="minorEastAsia"/>
          <w:color w:val="000000"/>
          <w:spacing w:val="0"/>
          <w:w w:val="100"/>
          <w:position w:val="0"/>
          <w:sz w:val="24"/>
          <w:szCs w:val="24"/>
          <w:shd w:val="clear" w:color="auto" w:fill="auto"/>
        </w:rPr>
        <w:t>2016)</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“4.3</w:t>
      </w:r>
      <w:r>
        <w:rPr>
          <w:rFonts w:hint="eastAsia" w:asciiTheme="minorEastAsia" w:hAnsiTheme="minorEastAsia" w:eastAsiaTheme="minorEastAsia" w:cstheme="minorEastAsia"/>
          <w:color w:val="000000"/>
          <w:spacing w:val="0"/>
          <w:w w:val="100"/>
          <w:position w:val="0"/>
          <w:sz w:val="24"/>
          <w:szCs w:val="24"/>
          <w:shd w:val="clear" w:color="auto" w:fill="auto"/>
        </w:rPr>
        <w:t>平面位置精度”的要求进行地理校正。现摘录如下。</w:t>
      </w:r>
    </w:p>
    <w:p>
      <w:pPr>
        <w:pStyle w:val="9"/>
        <w:keepNext w:val="0"/>
        <w:keepLines w:val="0"/>
        <w:widowControl w:val="0"/>
        <w:shd w:val="clear" w:color="auto" w:fill="auto"/>
        <w:bidi w:val="0"/>
        <w:spacing w:before="0" w:after="0" w:line="322"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地物点对最近野外控制点的图上点位中误差不得大于表1的规定。</w:t>
      </w:r>
    </w:p>
    <w:p>
      <w:pPr>
        <w:pStyle w:val="9"/>
        <w:keepNext w:val="0"/>
        <w:keepLines w:val="0"/>
        <w:widowControl w:val="0"/>
        <w:shd w:val="clear" w:color="auto" w:fill="auto"/>
        <w:bidi w:val="0"/>
        <w:spacing w:before="0" w:after="0" w:line="322"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数据难以获取地区(大面积的林地、沙漠、戈壁、沼泽等)地物点对最近野外控制点的图上点位中误差按本标准表1相应地形类别放宽</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0.</w:t>
      </w:r>
      <w:r>
        <w:rPr>
          <w:rFonts w:hint="eastAsia" w:asciiTheme="minorEastAsia" w:hAnsiTheme="minorEastAsia" w:eastAsiaTheme="minorEastAsia" w:cstheme="minorEastAsia"/>
          <w:color w:val="000000"/>
          <w:spacing w:val="0"/>
          <w:w w:val="100"/>
          <w:position w:val="0"/>
          <w:sz w:val="24"/>
          <w:szCs w:val="24"/>
          <w:shd w:val="clear" w:color="auto" w:fill="auto"/>
        </w:rPr>
        <w:t>5倍。</w:t>
      </w:r>
    </w:p>
    <w:p>
      <w:pPr>
        <w:pStyle w:val="9"/>
        <w:keepNext w:val="0"/>
        <w:keepLines w:val="0"/>
        <w:widowControl w:val="0"/>
        <w:shd w:val="clear" w:color="auto" w:fill="auto"/>
        <w:bidi w:val="0"/>
        <w:spacing w:before="0" w:after="200" w:line="322" w:lineRule="exact"/>
        <w:ind w:left="0" w:right="0" w:firstLine="440"/>
        <w:jc w:val="both"/>
        <w:rPr>
          <w:rFonts w:hint="eastAsia" w:asciiTheme="minorEastAsia" w:hAnsiTheme="minorEastAsia" w:eastAsiaTheme="minorEastAsia" w:cstheme="minorEastAsia"/>
          <w:color w:val="000000"/>
          <w:spacing w:val="0"/>
          <w:w w:val="100"/>
          <w:position w:val="0"/>
          <w:sz w:val="24"/>
          <w:szCs w:val="24"/>
          <w:shd w:val="clear" w:color="auto" w:fill="auto"/>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DEM：</w:t>
      </w:r>
      <w:r>
        <w:rPr>
          <w:rFonts w:hint="eastAsia" w:asciiTheme="minorEastAsia" w:hAnsiTheme="minorEastAsia" w:eastAsiaTheme="minorEastAsia" w:cstheme="minorEastAsia"/>
          <w:color w:val="000000"/>
          <w:spacing w:val="0"/>
          <w:w w:val="100"/>
          <w:position w:val="0"/>
          <w:sz w:val="24"/>
          <w:szCs w:val="24"/>
          <w:shd w:val="clear" w:color="auto" w:fill="auto"/>
        </w:rPr>
        <w:t>对</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ASTER GDEM V3</w:t>
      </w:r>
      <w:r>
        <w:rPr>
          <w:rFonts w:hint="eastAsia" w:asciiTheme="minorEastAsia" w:hAnsiTheme="minorEastAsia" w:eastAsiaTheme="minorEastAsia" w:cstheme="minorEastAsia"/>
          <w:color w:val="000000"/>
          <w:spacing w:val="0"/>
          <w:w w:val="100"/>
          <w:position w:val="0"/>
          <w:sz w:val="24"/>
          <w:szCs w:val="24"/>
          <w:shd w:val="clear" w:color="auto" w:fill="auto"/>
        </w:rPr>
        <w:t>数据进行拼接、裁剪、坐标变换处理，作为工作底图制作需要的</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DEM</w:t>
      </w:r>
    </w:p>
    <w:p>
      <w:pPr>
        <w:pStyle w:val="23"/>
        <w:keepNext w:val="0"/>
        <w:keepLines w:val="0"/>
        <w:widowControl w:val="0"/>
        <w:shd w:val="clear" w:color="auto" w:fill="auto"/>
        <w:tabs>
          <w:tab w:val="left" w:pos="7742"/>
        </w:tabs>
        <w:bidi w:val="0"/>
        <w:spacing w:before="0" w:after="0" w:line="240" w:lineRule="auto"/>
        <w:ind w:right="0"/>
        <w:jc w:val="right"/>
        <w:rPr>
          <w:rFonts w:hint="eastAsia" w:asciiTheme="minorEastAsia" w:hAnsiTheme="minorEastAsia" w:eastAsiaTheme="minorEastAsia" w:cstheme="minorEastAsia"/>
          <w:sz w:val="18"/>
          <w:szCs w:val="18"/>
        </w:rPr>
      </w:pPr>
      <w:r>
        <w:rPr>
          <w:rFonts w:hint="eastAsia" w:asciiTheme="majorEastAsia" w:hAnsiTheme="majorEastAsia" w:eastAsiaTheme="majorEastAsia" w:cstheme="majorEastAsia"/>
          <w:color w:val="000000"/>
          <w:spacing w:val="0"/>
          <w:w w:val="100"/>
          <w:position w:val="0"/>
          <w:sz w:val="21"/>
          <w:szCs w:val="21"/>
          <w:shd w:val="clear" w:color="auto" w:fill="auto"/>
          <w:lang w:val="en-US" w:eastAsia="zh-CN"/>
        </w:rPr>
        <w:t xml:space="preserve">                               </w:t>
      </w:r>
      <w:r>
        <w:rPr>
          <w:rFonts w:hint="eastAsia" w:asciiTheme="majorEastAsia" w:hAnsiTheme="majorEastAsia" w:eastAsiaTheme="majorEastAsia" w:cstheme="majorEastAsia"/>
          <w:color w:val="000000"/>
          <w:spacing w:val="0"/>
          <w:w w:val="100"/>
          <w:position w:val="0"/>
          <w:sz w:val="21"/>
          <w:szCs w:val="21"/>
          <w:shd w:val="clear" w:color="auto" w:fill="auto"/>
        </w:rPr>
        <w:t>表1平面位置中误差</w:t>
      </w:r>
      <w:r>
        <w:rPr>
          <w:color w:val="000000"/>
          <w:spacing w:val="0"/>
          <w:w w:val="100"/>
          <w:position w:val="0"/>
          <w:shd w:val="clear" w:color="auto" w:fill="auto"/>
        </w:rPr>
        <w:tab/>
      </w:r>
      <w:r>
        <w:rPr>
          <w:rFonts w:hint="eastAsia" w:asciiTheme="minorEastAsia" w:hAnsiTheme="minorEastAsia" w:eastAsiaTheme="minorEastAsia" w:cstheme="minorEastAsia"/>
          <w:b w:val="0"/>
          <w:bCs w:val="0"/>
          <w:color w:val="000000"/>
          <w:spacing w:val="0"/>
          <w:w w:val="100"/>
          <w:position w:val="0"/>
          <w:sz w:val="18"/>
          <w:szCs w:val="18"/>
          <w:shd w:val="clear" w:color="auto" w:fill="auto"/>
        </w:rPr>
        <w:t>单位：</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mm</w:t>
      </w:r>
      <w:r>
        <w:rPr>
          <w:rFonts w:hint="eastAsia" w:asciiTheme="minorEastAsia" w:hAnsiTheme="minorEastAsia" w:eastAsiaTheme="minorEastAsia" w:cstheme="minorEastAsia"/>
          <w:b w:val="0"/>
          <w:bCs w:val="0"/>
          <w:color w:val="000000"/>
          <w:spacing w:val="0"/>
          <w:w w:val="100"/>
          <w:position w:val="0"/>
          <w:sz w:val="18"/>
          <w:szCs w:val="18"/>
          <w:shd w:val="clear" w:color="auto" w:fill="auto"/>
        </w:rPr>
        <w:t>(像元)</w:t>
      </w:r>
    </w:p>
    <w:tbl>
      <w:tblPr>
        <w:tblStyle w:val="4"/>
        <w:tblW w:w="0" w:type="auto"/>
        <w:jc w:val="center"/>
        <w:tblLayout w:type="fixed"/>
        <w:tblCellMar>
          <w:top w:w="0" w:type="dxa"/>
          <w:left w:w="10" w:type="dxa"/>
          <w:bottom w:w="0" w:type="dxa"/>
          <w:right w:w="10" w:type="dxa"/>
        </w:tblCellMar>
      </w:tblPr>
      <w:tblGrid>
        <w:gridCol w:w="2890"/>
        <w:gridCol w:w="2890"/>
        <w:gridCol w:w="3456"/>
      </w:tblGrid>
      <w:tr>
        <w:tblPrEx>
          <w:tblCellMar>
            <w:top w:w="0" w:type="dxa"/>
            <w:left w:w="10" w:type="dxa"/>
            <w:bottom w:w="0" w:type="dxa"/>
            <w:right w:w="10" w:type="dxa"/>
          </w:tblCellMar>
        </w:tblPrEx>
        <w:trPr>
          <w:trHeight w:val="365"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color w:val="000000"/>
                <w:spacing w:val="0"/>
                <w:w w:val="100"/>
                <w:position w:val="0"/>
                <w:sz w:val="18"/>
                <w:szCs w:val="18"/>
                <w:shd w:val="clear" w:color="auto" w:fill="auto"/>
              </w:rPr>
              <w:t>比例尺</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color w:val="000000"/>
                <w:spacing w:val="0"/>
                <w:w w:val="100"/>
                <w:position w:val="0"/>
                <w:sz w:val="18"/>
                <w:szCs w:val="18"/>
                <w:shd w:val="clear" w:color="auto" w:fill="auto"/>
              </w:rPr>
              <w:t>平地、丘陵</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color w:val="000000"/>
                <w:spacing w:val="0"/>
                <w:w w:val="100"/>
                <w:position w:val="0"/>
                <w:sz w:val="18"/>
                <w:szCs w:val="18"/>
                <w:shd w:val="clear" w:color="auto" w:fill="auto"/>
              </w:rPr>
              <w:t>山地、高山地</w:t>
            </w:r>
          </w:p>
        </w:tc>
      </w:tr>
      <w:tr>
        <w:tblPrEx>
          <w:tblCellMar>
            <w:top w:w="0" w:type="dxa"/>
            <w:left w:w="10" w:type="dxa"/>
            <w:bottom w:w="0" w:type="dxa"/>
            <w:right w:w="10" w:type="dxa"/>
          </w:tblCellMar>
        </w:tblPrEx>
        <w:trPr>
          <w:trHeight w:val="360"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color w:val="000000"/>
                <w:spacing w:val="0"/>
                <w:w w:val="100"/>
                <w:position w:val="0"/>
                <w:sz w:val="18"/>
                <w:szCs w:val="18"/>
                <w:shd w:val="clear" w:color="auto" w:fill="auto"/>
              </w:rPr>
              <w:t>1：50000</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color w:val="000000"/>
                <w:spacing w:val="0"/>
                <w:w w:val="100"/>
                <w:position w:val="0"/>
                <w:sz w:val="18"/>
                <w:szCs w:val="18"/>
                <w:shd w:val="clear" w:color="auto" w:fill="auto"/>
                <w:lang w:val="en-US" w:eastAsia="en-US" w:bidi="en-US"/>
              </w:rPr>
              <w:t>0.75</w:t>
            </w:r>
            <w:r>
              <w:rPr>
                <w:rFonts w:hint="eastAsia" w:asciiTheme="minorEastAsia" w:hAnsiTheme="minorEastAsia" w:eastAsiaTheme="minorEastAsia" w:cstheme="minorEastAsia"/>
                <w:b/>
                <w:bCs/>
                <w:color w:val="000000"/>
                <w:spacing w:val="0"/>
                <w:w w:val="100"/>
                <w:position w:val="0"/>
                <w:sz w:val="18"/>
                <w:szCs w:val="18"/>
                <w:shd w:val="clear" w:color="auto" w:fill="auto"/>
              </w:rPr>
              <w:t>(9)</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color w:val="000000"/>
                <w:spacing w:val="0"/>
                <w:w w:val="100"/>
                <w:position w:val="0"/>
                <w:sz w:val="18"/>
                <w:szCs w:val="18"/>
                <w:shd w:val="clear" w:color="auto" w:fill="auto"/>
              </w:rPr>
              <w:t>1(12)</w:t>
            </w:r>
          </w:p>
        </w:tc>
      </w:tr>
      <w:tr>
        <w:tblPrEx>
          <w:tblCellMar>
            <w:top w:w="0" w:type="dxa"/>
            <w:left w:w="10" w:type="dxa"/>
            <w:bottom w:w="0" w:type="dxa"/>
            <w:right w:w="10" w:type="dxa"/>
          </w:tblCellMar>
        </w:tblPrEx>
        <w:trPr>
          <w:trHeight w:val="370" w:hRule="exact"/>
          <w:jc w:val="center"/>
        </w:trPr>
        <w:tc>
          <w:tcPr>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color w:val="000000"/>
                <w:spacing w:val="0"/>
                <w:w w:val="100"/>
                <w:position w:val="0"/>
                <w:sz w:val="18"/>
                <w:szCs w:val="18"/>
                <w:shd w:val="clear" w:color="auto" w:fill="auto"/>
              </w:rPr>
              <w:t>1：100000</w:t>
            </w:r>
          </w:p>
        </w:tc>
        <w:tc>
          <w:tcPr>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color w:val="000000"/>
                <w:spacing w:val="0"/>
                <w:w w:val="100"/>
                <w:position w:val="0"/>
                <w:sz w:val="18"/>
                <w:szCs w:val="18"/>
                <w:shd w:val="clear" w:color="auto" w:fill="auto"/>
                <w:lang w:val="en-US" w:eastAsia="en-US" w:bidi="en-US"/>
              </w:rPr>
              <w:t>0.75</w:t>
            </w:r>
            <w:r>
              <w:rPr>
                <w:rFonts w:hint="eastAsia" w:asciiTheme="minorEastAsia" w:hAnsiTheme="minorEastAsia" w:eastAsiaTheme="minorEastAsia" w:cstheme="minorEastAsia"/>
                <w:b/>
                <w:bCs/>
                <w:color w:val="000000"/>
                <w:spacing w:val="0"/>
                <w:w w:val="100"/>
                <w:position w:val="0"/>
                <w:sz w:val="18"/>
                <w:szCs w:val="18"/>
                <w:shd w:val="clear" w:color="auto" w:fill="auto"/>
              </w:rPr>
              <w:t>(9)</w:t>
            </w: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color w:val="000000"/>
                <w:spacing w:val="0"/>
                <w:w w:val="100"/>
                <w:position w:val="0"/>
                <w:sz w:val="18"/>
                <w:szCs w:val="18"/>
                <w:shd w:val="clear" w:color="auto" w:fill="auto"/>
              </w:rPr>
              <w:t>1(12)</w:t>
            </w:r>
          </w:p>
        </w:tc>
      </w:tr>
    </w:tbl>
    <w:p>
      <w:pPr>
        <w:pStyle w:val="23"/>
        <w:keepNext w:val="0"/>
        <w:keepLines w:val="0"/>
        <w:widowControl w:val="0"/>
        <w:shd w:val="clear" w:color="auto" w:fill="auto"/>
        <w:bidi w:val="0"/>
        <w:spacing w:before="0" w:after="0" w:line="288" w:lineRule="exact"/>
        <w:ind w:left="0" w:right="0" w:firstLine="0"/>
        <w:jc w:val="left"/>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注：中误差的两倍为其最大误差限；单位</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mm</w:t>
      </w:r>
      <w:r>
        <w:rPr>
          <w:rFonts w:hint="eastAsia" w:asciiTheme="minorEastAsia" w:hAnsiTheme="minorEastAsia" w:eastAsiaTheme="minorEastAsia" w:cstheme="minorEastAsia"/>
          <w:b w:val="0"/>
          <w:bCs w:val="0"/>
          <w:color w:val="000000"/>
          <w:spacing w:val="0"/>
          <w:w w:val="100"/>
          <w:position w:val="0"/>
          <w:sz w:val="18"/>
          <w:szCs w:val="18"/>
          <w:shd w:val="clear" w:color="auto" w:fill="auto"/>
        </w:rPr>
        <w:t>为等比例尺图面距离，单位像元为分辨率为</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300dpi</w:t>
      </w:r>
      <w:r>
        <w:rPr>
          <w:rFonts w:hint="eastAsia" w:asciiTheme="minorEastAsia" w:hAnsiTheme="minorEastAsia" w:eastAsiaTheme="minorEastAsia" w:cstheme="minorEastAsia"/>
          <w:b w:val="0"/>
          <w:bCs w:val="0"/>
          <w:color w:val="000000"/>
          <w:spacing w:val="0"/>
          <w:w w:val="100"/>
          <w:position w:val="0"/>
          <w:sz w:val="18"/>
          <w:szCs w:val="18"/>
          <w:shd w:val="clear" w:color="auto" w:fill="auto"/>
        </w:rPr>
        <w:t>时的中误差距离所折算的像元数。</w:t>
      </w:r>
    </w:p>
    <w:p>
      <w:pPr>
        <w:pStyle w:val="9"/>
        <w:keepNext w:val="0"/>
        <w:keepLines w:val="0"/>
        <w:widowControl w:val="0"/>
        <w:shd w:val="clear" w:color="auto" w:fill="auto"/>
        <w:bidi w:val="0"/>
        <w:spacing w:before="0" w:after="0" w:line="314" w:lineRule="exact"/>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4.1.2.2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空间叠置处理</w:t>
      </w:r>
    </w:p>
    <w:p>
      <w:pPr>
        <w:pStyle w:val="9"/>
        <w:keepNext w:val="0"/>
        <w:keepLines w:val="0"/>
        <w:widowControl w:val="0"/>
        <w:shd w:val="clear" w:color="auto" w:fill="auto"/>
        <w:bidi w:val="0"/>
        <w:spacing w:before="0" w:after="0" w:line="314" w:lineRule="exact"/>
        <w:ind w:left="0" w:right="0" w:firstLine="440"/>
        <w:jc w:val="both"/>
        <w:rPr>
          <w:rFonts w:hint="eastAsia" w:asciiTheme="minorEastAsia" w:hAnsiTheme="minorEastAsia" w:eastAsiaTheme="minorEastAsia" w:cstheme="minorEastAsia"/>
          <w:sz w:val="24"/>
          <w:szCs w:val="24"/>
        </w:rPr>
      </w:pPr>
      <w:r>
        <w:rPr>
          <w:color w:val="000000"/>
          <w:spacing w:val="0"/>
          <w:w w:val="100"/>
          <w:position w:val="0"/>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rPr>
        <w:t>1)第三次全国土地利用调查的1：1万土地利用现状图标准化处理。从国土三调数据的“地类图斑”图层导出普查县的耕园林草盐碱地后，将线状地物(公路用地、城镇村道路用地、农村道路、沟渠)融并进耕园林草盐碱地图层中，随后按二级地类对耕园林草盐碱地图层进行合并。</w:t>
      </w:r>
    </w:p>
    <w:p>
      <w:pPr>
        <w:pStyle w:val="9"/>
        <w:keepNext w:val="0"/>
        <w:keepLines w:val="0"/>
        <w:widowControl w:val="0"/>
        <w:shd w:val="clear" w:color="auto" w:fill="auto"/>
        <w:bidi w:val="0"/>
        <w:spacing w:before="0" w:after="0" w:line="314"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二普土壤图标准化处理。进行过地理清查、空间配准与坐标变换处理后的二普土壤图，筛除其中的“河湖库渠”“居民地”“盐场”等非土壤类型信息，并以国土三调数据中各县的行政区范围对土壤图进行裁剪。</w:t>
      </w:r>
    </w:p>
    <w:p>
      <w:pPr>
        <w:pStyle w:val="9"/>
        <w:keepNext w:val="0"/>
        <w:keepLines w:val="0"/>
        <w:widowControl w:val="0"/>
        <w:shd w:val="clear" w:color="auto" w:fill="auto"/>
        <w:bidi w:val="0"/>
        <w:spacing w:before="0" w:after="0" w:line="314"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土地利用图与土壤图叠加。叠加经过标准化处理的二普1：5万土种图(部分地区为土属图)和第三次全国土地利用调查的1：1万土地利用现状图，形成“土壤类型+土地利用类型”的叠加图斑(以下简称“叠加图斑”)，形成的耕地、园地、林地、草地、盐碱荒地叠加图层作为土壤三普的工作底图，并作为样点预布设、成果汇总的基础。</w:t>
      </w:r>
    </w:p>
    <w:p>
      <w:pPr>
        <w:pStyle w:val="9"/>
        <w:keepNext w:val="0"/>
        <w:keepLines w:val="0"/>
        <w:widowControl w:val="0"/>
        <w:shd w:val="clear" w:color="auto" w:fill="auto"/>
        <w:bidi w:val="0"/>
        <w:spacing w:before="0" w:after="200" w:line="314" w:lineRule="exact"/>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样点分布图+遥感影像图+行政区划图，作为外业调查采样的工作底图。</w:t>
      </w:r>
    </w:p>
    <w:p>
      <w:pPr>
        <w:pStyle w:val="9"/>
        <w:keepNext w:val="0"/>
        <w:keepLines w:val="0"/>
        <w:widowControl w:val="0"/>
        <w:numPr>
          <w:ilvl w:val="0"/>
          <w:numId w:val="0"/>
        </w:numPr>
        <w:shd w:val="clear" w:color="auto" w:fill="auto"/>
        <w:tabs>
          <w:tab w:val="left" w:pos="354"/>
        </w:tabs>
        <w:bidi w:val="0"/>
        <w:spacing w:before="0" w:after="100" w:line="319" w:lineRule="exact"/>
        <w:ind w:leftChars="0" w:right="0" w:right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4.</w:t>
      </w:r>
      <w:r>
        <w:rPr>
          <w:rFonts w:hint="eastAsia" w:asciiTheme="majorEastAsia" w:hAnsiTheme="majorEastAsia" w:eastAsiaTheme="majorEastAsia" w:cstheme="majorEastAsia"/>
          <w:b/>
          <w:bCs/>
          <w:color w:val="000000"/>
          <w:spacing w:val="0"/>
          <w:w w:val="100"/>
          <w:position w:val="0"/>
          <w:sz w:val="24"/>
          <w:szCs w:val="24"/>
          <w:shd w:val="clear" w:color="auto" w:fill="auto"/>
        </w:rPr>
        <w:t>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表层样点预布设</w:t>
      </w:r>
    </w:p>
    <w:p>
      <w:pPr>
        <w:pStyle w:val="9"/>
        <w:keepNext w:val="0"/>
        <w:keepLines w:val="0"/>
        <w:widowControl w:val="0"/>
        <w:shd w:val="clear" w:color="auto" w:fill="auto"/>
        <w:bidi w:val="0"/>
        <w:spacing w:before="0" w:after="0" w:line="319" w:lineRule="exact"/>
        <w:ind w:left="0" w:right="0" w:firstLine="440"/>
        <w:jc w:val="both"/>
        <w:rPr>
          <w:sz w:val="24"/>
          <w:szCs w:val="24"/>
        </w:rPr>
      </w:pPr>
      <w:r>
        <w:rPr>
          <w:color w:val="000000"/>
          <w:spacing w:val="0"/>
          <w:w w:val="100"/>
          <w:position w:val="0"/>
          <w:sz w:val="24"/>
          <w:szCs w:val="24"/>
          <w:shd w:val="clear" w:color="auto" w:fill="auto"/>
        </w:rPr>
        <w:t>遵循土壤普查表层样点布设的全面性、科学性、可行性原则，兼顾样点的多目标、多功能性，以地理信息系统、遥感技术等技术手段为支撑，以二普土壤图、国土三调土地利用现状图、</w:t>
      </w:r>
      <w:r>
        <w:rPr>
          <w:rFonts w:hint="default" w:ascii="Arial" w:hAnsi="Arial" w:cs="Arial"/>
          <w:color w:val="000000"/>
          <w:spacing w:val="0"/>
          <w:w w:val="100"/>
          <w:position w:val="0"/>
          <w:sz w:val="24"/>
          <w:szCs w:val="24"/>
          <w:shd w:val="clear" w:color="auto" w:fill="auto"/>
          <w:lang w:val="en-US" w:eastAsia="en-US" w:bidi="en-US"/>
        </w:rPr>
        <w:t>DEM</w:t>
      </w:r>
      <w:r>
        <w:rPr>
          <w:color w:val="000000"/>
          <w:spacing w:val="0"/>
          <w:w w:val="100"/>
          <w:position w:val="0"/>
          <w:sz w:val="24"/>
          <w:szCs w:val="24"/>
          <w:shd w:val="clear" w:color="auto" w:fill="auto"/>
        </w:rPr>
        <w:t>等为基础图件，按照</w:t>
      </w:r>
      <w:r>
        <w:rPr>
          <w:rFonts w:hint="eastAsia"/>
          <w:color w:val="000000"/>
          <w:spacing w:val="0"/>
          <w:w w:val="100"/>
          <w:position w:val="0"/>
          <w:sz w:val="24"/>
          <w:szCs w:val="24"/>
          <w:shd w:val="clear" w:color="auto" w:fill="auto"/>
          <w:lang w:eastAsia="zh-CN"/>
        </w:rPr>
        <w:t>《</w:t>
      </w:r>
      <w:r>
        <w:rPr>
          <w:color w:val="000000"/>
          <w:spacing w:val="0"/>
          <w:w w:val="100"/>
          <w:position w:val="0"/>
          <w:sz w:val="24"/>
          <w:szCs w:val="24"/>
          <w:shd w:val="clear" w:color="auto" w:fill="auto"/>
        </w:rPr>
        <w:t>第三次全国土壤普查技术规程</w:t>
      </w:r>
      <w:r>
        <w:rPr>
          <w:rFonts w:hint="eastAsia"/>
          <w:color w:val="000000"/>
          <w:spacing w:val="0"/>
          <w:w w:val="100"/>
          <w:position w:val="0"/>
          <w:sz w:val="24"/>
          <w:szCs w:val="24"/>
          <w:shd w:val="clear" w:color="auto" w:fill="auto"/>
          <w:lang w:eastAsia="zh-CN"/>
        </w:rPr>
        <w:t>》</w:t>
      </w:r>
      <w:r>
        <w:rPr>
          <w:color w:val="000000"/>
          <w:spacing w:val="0"/>
          <w:w w:val="100"/>
          <w:position w:val="0"/>
          <w:sz w:val="24"/>
          <w:szCs w:val="24"/>
          <w:shd w:val="clear" w:color="auto" w:fill="auto"/>
        </w:rPr>
        <w:t>要求，统筹样点的数量与位置，统一进行表层样点预布设。</w:t>
      </w:r>
    </w:p>
    <w:p>
      <w:pPr>
        <w:pStyle w:val="21"/>
        <w:keepNext/>
        <w:keepLines/>
        <w:widowControl w:val="0"/>
        <w:numPr>
          <w:ilvl w:val="0"/>
          <w:numId w:val="0"/>
        </w:numPr>
        <w:shd w:val="clear" w:color="auto" w:fill="auto"/>
        <w:tabs>
          <w:tab w:val="left" w:pos="291"/>
        </w:tabs>
        <w:bidi w:val="0"/>
        <w:spacing w:before="0" w:after="0" w:line="319" w:lineRule="exact"/>
        <w:ind w:leftChars="0" w:right="0" w:rightChars="0"/>
        <w:jc w:val="left"/>
        <w:rPr>
          <w:rFonts w:hint="eastAsia" w:asciiTheme="majorEastAsia" w:hAnsiTheme="majorEastAsia" w:eastAsiaTheme="majorEastAsia" w:cstheme="majorEastAsia"/>
          <w:b/>
          <w:bCs/>
          <w:sz w:val="24"/>
          <w:szCs w:val="24"/>
        </w:rPr>
      </w:pPr>
      <w:bookmarkStart w:id="8" w:name="bookmark16"/>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4.</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2.1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表层样点预布设基本思路</w:t>
      </w:r>
      <w:bookmarkEnd w:id="8"/>
    </w:p>
    <w:p>
      <w:pPr>
        <w:pStyle w:val="9"/>
        <w:keepNext w:val="0"/>
        <w:keepLines w:val="0"/>
        <w:widowControl w:val="0"/>
        <w:numPr>
          <w:ilvl w:val="0"/>
          <w:numId w:val="0"/>
        </w:numPr>
        <w:shd w:val="clear" w:color="auto" w:fill="auto"/>
        <w:tabs>
          <w:tab w:val="left" w:pos="920"/>
        </w:tabs>
        <w:bidi w:val="0"/>
        <w:spacing w:before="0" w:after="0" w:line="319" w:lineRule="exact"/>
        <w:ind w:right="0" w:right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1）</w:t>
      </w:r>
      <w:r>
        <w:rPr>
          <w:rFonts w:hint="eastAsia" w:asciiTheme="minorEastAsia" w:hAnsiTheme="minorEastAsia" w:eastAsiaTheme="minorEastAsia" w:cstheme="minorEastAsia"/>
          <w:color w:val="000000"/>
          <w:spacing w:val="0"/>
          <w:w w:val="100"/>
          <w:position w:val="0"/>
          <w:sz w:val="24"/>
          <w:szCs w:val="24"/>
          <w:shd w:val="clear" w:color="auto" w:fill="auto"/>
        </w:rPr>
        <w:t>主要考虑土地利用类型、地形地貌(影响表层土壤理化性质的主导因素)，兼顾土壤普查中农业的重要性及各地指导农业生产的实际需求。</w:t>
      </w:r>
    </w:p>
    <w:p>
      <w:pPr>
        <w:pStyle w:val="9"/>
        <w:keepNext w:val="0"/>
        <w:keepLines w:val="0"/>
        <w:widowControl w:val="0"/>
        <w:numPr>
          <w:ilvl w:val="0"/>
          <w:numId w:val="0"/>
        </w:numPr>
        <w:shd w:val="clear" w:color="auto" w:fill="auto"/>
        <w:tabs>
          <w:tab w:val="left" w:pos="920"/>
        </w:tabs>
        <w:bidi w:val="0"/>
        <w:spacing w:before="0" w:after="0" w:line="319" w:lineRule="exact"/>
        <w:ind w:right="0" w:right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2）</w:t>
      </w:r>
      <w:r>
        <w:rPr>
          <w:rFonts w:hint="eastAsia" w:asciiTheme="minorEastAsia" w:hAnsiTheme="minorEastAsia" w:eastAsiaTheme="minorEastAsia" w:cstheme="minorEastAsia"/>
          <w:color w:val="000000"/>
          <w:spacing w:val="0"/>
          <w:w w:val="100"/>
          <w:position w:val="0"/>
          <w:sz w:val="24"/>
          <w:szCs w:val="24"/>
          <w:shd w:val="clear" w:color="auto" w:fill="auto"/>
        </w:rPr>
        <w:t>将全国所有普查区域按区域特征、土地利用类型、地形地貌进行分区分类。首先，对普查县按区域分为地理标志农产品区(以下简称“地标区”)与非地标区、牧区与非牧区。其次，按土地利用类型分成耕园地和林草盐碱地两大类。然后，对耕园地按地貌类型分为平地、丘陵山地。最后，将林草地按二级地类分为与食物生产有关和与食物生产无关。</w:t>
      </w:r>
    </w:p>
    <w:p>
      <w:pPr>
        <w:pStyle w:val="9"/>
        <w:keepNext w:val="0"/>
        <w:keepLines w:val="0"/>
        <w:widowControl w:val="0"/>
        <w:numPr>
          <w:ilvl w:val="0"/>
          <w:numId w:val="0"/>
        </w:numPr>
        <w:shd w:val="clear" w:color="auto" w:fill="auto"/>
        <w:tabs>
          <w:tab w:val="left" w:pos="1323"/>
        </w:tabs>
        <w:bidi w:val="0"/>
        <w:spacing w:before="0" w:after="0" w:line="319" w:lineRule="exact"/>
        <w:ind w:right="0" w:right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3）</w:t>
      </w:r>
      <w:r>
        <w:rPr>
          <w:rFonts w:hint="eastAsia" w:asciiTheme="minorEastAsia" w:hAnsiTheme="minorEastAsia" w:eastAsiaTheme="minorEastAsia" w:cstheme="minorEastAsia"/>
          <w:color w:val="000000"/>
          <w:spacing w:val="0"/>
          <w:w w:val="100"/>
          <w:position w:val="0"/>
          <w:sz w:val="24"/>
          <w:szCs w:val="24"/>
          <w:shd w:val="clear" w:color="auto" w:fill="auto"/>
        </w:rPr>
        <w:t>耕园林草盐碱地均在土地利用二级地类上布点。</w:t>
      </w:r>
    </w:p>
    <w:p>
      <w:pPr>
        <w:pStyle w:val="9"/>
        <w:keepNext w:val="0"/>
        <w:keepLines w:val="0"/>
        <w:widowControl w:val="0"/>
        <w:numPr>
          <w:ilvl w:val="0"/>
          <w:numId w:val="0"/>
        </w:numPr>
        <w:shd w:val="clear" w:color="auto" w:fill="auto"/>
        <w:tabs>
          <w:tab w:val="left" w:pos="1323"/>
        </w:tabs>
        <w:bidi w:val="0"/>
        <w:spacing w:before="0" w:after="0" w:line="319" w:lineRule="exact"/>
        <w:ind w:right="0" w:right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4）</w:t>
      </w:r>
      <w:r>
        <w:rPr>
          <w:rFonts w:hint="eastAsia" w:asciiTheme="minorEastAsia" w:hAnsiTheme="minorEastAsia" w:eastAsiaTheme="minorEastAsia" w:cstheme="minorEastAsia"/>
          <w:color w:val="000000"/>
          <w:spacing w:val="0"/>
          <w:w w:val="100"/>
          <w:position w:val="0"/>
          <w:sz w:val="24"/>
          <w:szCs w:val="24"/>
          <w:shd w:val="clear" w:color="auto" w:fill="auto"/>
        </w:rPr>
        <w:t>采取不同的布点密度在各种类型区进行布点。</w:t>
      </w:r>
    </w:p>
    <w:p>
      <w:pPr>
        <w:pStyle w:val="9"/>
        <w:keepNext w:val="0"/>
        <w:keepLines w:val="0"/>
        <w:widowControl w:val="0"/>
        <w:shd w:val="clear" w:color="auto" w:fill="auto"/>
        <w:bidi w:val="0"/>
        <w:spacing w:before="0" w:after="0" w:line="319" w:lineRule="exact"/>
        <w:ind w:righ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耕园地布点密度:丘陵山地＞平地。</w:t>
      </w:r>
    </w:p>
    <w:p>
      <w:pPr>
        <w:pStyle w:val="9"/>
        <w:keepNext w:val="0"/>
        <w:keepLines w:val="0"/>
        <w:widowControl w:val="0"/>
        <w:shd w:val="clear" w:color="auto" w:fill="auto"/>
        <w:bidi w:val="0"/>
        <w:spacing w:before="0" w:after="0" w:line="319" w:lineRule="exact"/>
        <w:ind w:righ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林草地布点密度:非牧区＞牧区，与食物生产有关＞与食物生产无关。</w:t>
      </w:r>
    </w:p>
    <w:p>
      <w:pPr>
        <w:pStyle w:val="9"/>
        <w:keepNext w:val="0"/>
        <w:keepLines w:val="0"/>
        <w:widowControl w:val="0"/>
        <w:numPr>
          <w:ilvl w:val="0"/>
          <w:numId w:val="0"/>
        </w:numPr>
        <w:shd w:val="clear" w:color="auto" w:fill="auto"/>
        <w:tabs>
          <w:tab w:val="left" w:pos="1323"/>
        </w:tabs>
        <w:bidi w:val="0"/>
        <w:spacing w:before="0" w:after="40" w:line="319" w:lineRule="exact"/>
        <w:ind w:right="0" w:right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5）</w:t>
      </w:r>
      <w:r>
        <w:rPr>
          <w:rFonts w:hint="eastAsia" w:asciiTheme="minorEastAsia" w:hAnsiTheme="minorEastAsia" w:eastAsiaTheme="minorEastAsia" w:cstheme="minorEastAsia"/>
          <w:color w:val="000000"/>
          <w:spacing w:val="0"/>
          <w:w w:val="100"/>
          <w:position w:val="0"/>
          <w:sz w:val="24"/>
          <w:szCs w:val="24"/>
          <w:shd w:val="clear" w:color="auto" w:fill="auto"/>
        </w:rPr>
        <w:t>为查清全国地理标志农产品区土壤特征，在该区加密样点。</w:t>
      </w:r>
    </w:p>
    <w:p>
      <w:pPr>
        <w:pStyle w:val="21"/>
        <w:keepNext/>
        <w:keepLines/>
        <w:widowControl w:val="0"/>
        <w:numPr>
          <w:ilvl w:val="0"/>
          <w:numId w:val="0"/>
        </w:numPr>
        <w:shd w:val="clear" w:color="auto" w:fill="auto"/>
        <w:tabs>
          <w:tab w:val="left" w:pos="883"/>
        </w:tabs>
        <w:bidi w:val="0"/>
        <w:spacing w:before="0" w:after="0" w:line="316" w:lineRule="exact"/>
        <w:ind w:leftChars="0" w:right="0" w:rightChars="0"/>
        <w:jc w:val="left"/>
        <w:rPr>
          <w:rFonts w:hint="eastAsia" w:asciiTheme="majorEastAsia" w:hAnsiTheme="majorEastAsia" w:eastAsiaTheme="majorEastAsia" w:cstheme="majorEastAsia"/>
          <w:sz w:val="24"/>
          <w:szCs w:val="24"/>
        </w:rPr>
      </w:pPr>
      <w:bookmarkStart w:id="9" w:name="bookmark18"/>
      <w:r>
        <w:rPr>
          <w:rFonts w:hint="eastAsia" w:asciiTheme="majorEastAsia" w:hAnsiTheme="majorEastAsia" w:eastAsiaTheme="majorEastAsia" w:cstheme="majorEastAsia"/>
          <w:color w:val="000000"/>
          <w:spacing w:val="0"/>
          <w:w w:val="100"/>
          <w:position w:val="0"/>
          <w:sz w:val="24"/>
          <w:szCs w:val="24"/>
          <w:shd w:val="clear" w:color="auto" w:fill="auto"/>
          <w:lang w:val="en-US" w:eastAsia="zh-CN" w:bidi="en-US"/>
        </w:rPr>
        <w:t>4.2.</w:t>
      </w:r>
      <w:r>
        <w:rPr>
          <w:rFonts w:hint="eastAsia" w:asciiTheme="majorEastAsia" w:hAnsiTheme="majorEastAsia" w:eastAsiaTheme="majorEastAsia" w:cstheme="majorEastAsia"/>
          <w:color w:val="000000"/>
          <w:spacing w:val="0"/>
          <w:w w:val="100"/>
          <w:position w:val="0"/>
          <w:sz w:val="24"/>
          <w:szCs w:val="24"/>
          <w:shd w:val="clear" w:color="auto" w:fill="auto"/>
          <w:lang w:val="en-US" w:eastAsia="en-US" w:bidi="en-US"/>
        </w:rPr>
        <w:t>2</w:t>
      </w:r>
      <w:r>
        <w:rPr>
          <w:rFonts w:hint="eastAsia" w:asciiTheme="majorEastAsia" w:hAnsiTheme="majorEastAsia" w:eastAsiaTheme="majorEastAsia" w:cstheme="majorEastAsia"/>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color w:val="000000"/>
          <w:spacing w:val="0"/>
          <w:w w:val="100"/>
          <w:position w:val="0"/>
          <w:sz w:val="24"/>
          <w:szCs w:val="24"/>
          <w:shd w:val="clear" w:color="auto" w:fill="auto"/>
        </w:rPr>
        <w:t>表层样点预布设主要原则</w:t>
      </w:r>
      <w:bookmarkEnd w:id="9"/>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（1）分县布样原则。</w:t>
      </w:r>
    </w:p>
    <w:p>
      <w:pPr>
        <w:pStyle w:val="9"/>
        <w:keepNext w:val="0"/>
        <w:keepLines w:val="0"/>
        <w:widowControl w:val="0"/>
        <w:shd w:val="clear" w:color="auto" w:fill="auto"/>
        <w:bidi w:val="0"/>
        <w:spacing w:before="0" w:after="0" w:line="316" w:lineRule="exact"/>
        <w:ind w:left="0" w:right="0" w:firstLine="679" w:firstLineChars="283"/>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以县级行政区为样点布设基本行政单元，进行表层样点预布设。</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（2）全面性原则。</w:t>
      </w:r>
    </w:p>
    <w:p>
      <w:pPr>
        <w:pStyle w:val="9"/>
        <w:keepNext w:val="0"/>
        <w:keepLines w:val="0"/>
        <w:widowControl w:val="0"/>
        <w:shd w:val="clear" w:color="auto" w:fill="auto"/>
        <w:bidi w:val="0"/>
        <w:spacing w:before="0" w:after="0" w:line="316" w:lineRule="exact"/>
        <w:ind w:left="0" w:right="0" w:firstLine="679" w:firstLineChars="283"/>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遵循在土壤、土地利用类型和空间上全面性布点原则。确保普查县内每一个土种（耕园地）/土属（林草地）与土地利用类型均有表层样点布设，同时样点在空间上呈全覆盖状态，在普查区域内不能存在较大空白区域未布点。</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（3）代表性原则。</w:t>
      </w:r>
    </w:p>
    <w:p>
      <w:pPr>
        <w:pStyle w:val="9"/>
        <w:keepNext w:val="0"/>
        <w:keepLines w:val="0"/>
        <w:widowControl w:val="0"/>
        <w:shd w:val="clear" w:color="auto" w:fill="auto"/>
        <w:bidi w:val="0"/>
        <w:spacing w:before="0" w:after="0" w:line="316" w:lineRule="exact"/>
        <w:ind w:left="0" w:right="0" w:firstLine="679" w:firstLineChars="283"/>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同一区域内土壤与土地利用类型相同时，选面积最大图斑布点。</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（4）差异性原则。</w:t>
      </w:r>
    </w:p>
    <w:p>
      <w:pPr>
        <w:pStyle w:val="9"/>
        <w:keepNext w:val="0"/>
        <w:keepLines w:val="0"/>
        <w:widowControl w:val="0"/>
        <w:shd w:val="clear" w:color="auto" w:fill="auto"/>
        <w:bidi w:val="0"/>
        <w:spacing w:before="0" w:after="0" w:line="316" w:lineRule="exact"/>
        <w:ind w:left="0" w:right="0" w:firstLine="679" w:firstLineChars="283"/>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土地利用类型、地貌类型与区域特征不同，布点密度不同。耕园地布点密度＞林草地；丘陵山地＞平地；地理标志农产品区＞非地理标志农产品区。耕地和园地（以下简称“耕园地”）“叠加图斑”按不大于</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km</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lkm</w:t>
      </w:r>
      <w:r>
        <w:rPr>
          <w:rFonts w:hint="eastAsia" w:asciiTheme="minorEastAsia" w:hAnsiTheme="minorEastAsia" w:eastAsiaTheme="minorEastAsia" w:cstheme="minorEastAsia"/>
          <w:color w:val="000000"/>
          <w:spacing w:val="0"/>
          <w:w w:val="100"/>
          <w:position w:val="0"/>
          <w:sz w:val="24"/>
          <w:szCs w:val="24"/>
          <w:shd w:val="clear" w:color="auto" w:fill="auto"/>
        </w:rPr>
        <w:t>规划1个样点，林地、草地和盐碱地</w:t>
      </w:r>
      <w:r>
        <w:rPr>
          <w:rFonts w:hint="eastAsia" w:asciiTheme="minorEastAsia" w:hAnsiTheme="minorEastAsia" w:eastAsiaTheme="minorEastAsia" w:cstheme="minorEastAsia"/>
          <w:i/>
          <w:iCs/>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rPr>
        <w:t>以下“简称林草盐碱地”）“叠加图斑”按不大于4</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km</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4km</w:t>
      </w:r>
      <w:r>
        <w:rPr>
          <w:rFonts w:hint="eastAsia" w:asciiTheme="minorEastAsia" w:hAnsiTheme="minorEastAsia" w:eastAsiaTheme="minorEastAsia" w:cstheme="minorEastAsia"/>
          <w:color w:val="000000"/>
          <w:spacing w:val="0"/>
          <w:w w:val="100"/>
          <w:position w:val="0"/>
          <w:sz w:val="24"/>
          <w:szCs w:val="24"/>
          <w:shd w:val="clear" w:color="auto" w:fill="auto"/>
        </w:rPr>
        <w:t>规划1个样点</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牧区省林草盐碱地叠加图斑按不大6</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km</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6km</w:t>
      </w:r>
      <w:r>
        <w:rPr>
          <w:rFonts w:hint="eastAsia" w:asciiTheme="minorEastAsia" w:hAnsiTheme="minorEastAsia" w:eastAsiaTheme="minorEastAsia" w:cstheme="minorEastAsia"/>
          <w:color w:val="000000"/>
          <w:spacing w:val="0"/>
          <w:w w:val="100"/>
          <w:position w:val="0"/>
          <w:sz w:val="24"/>
          <w:szCs w:val="24"/>
          <w:shd w:val="clear" w:color="auto" w:fill="auto"/>
        </w:rPr>
        <w:t>规划1个样点）。对于地理标志农产品区域的耕园林草地和地形起伏度大的区域耕园林草盐碱地，可根据实际情况加密布点。</w:t>
      </w:r>
    </w:p>
    <w:p>
      <w:pPr>
        <w:pStyle w:val="21"/>
        <w:keepNext/>
        <w:keepLines/>
        <w:widowControl w:val="0"/>
        <w:numPr>
          <w:ilvl w:val="0"/>
          <w:numId w:val="0"/>
        </w:numPr>
        <w:shd w:val="clear" w:color="auto" w:fill="auto"/>
        <w:tabs>
          <w:tab w:val="left" w:pos="883"/>
        </w:tabs>
        <w:bidi w:val="0"/>
        <w:spacing w:before="0" w:after="0" w:line="316" w:lineRule="exact"/>
        <w:ind w:leftChars="0" w:right="0" w:rightChars="0"/>
        <w:jc w:val="left"/>
        <w:rPr>
          <w:rFonts w:hint="eastAsia" w:asciiTheme="majorEastAsia" w:hAnsiTheme="majorEastAsia" w:eastAsiaTheme="majorEastAsia" w:cstheme="majorEastAsia"/>
          <w:b/>
          <w:bCs/>
          <w:sz w:val="24"/>
          <w:szCs w:val="24"/>
        </w:rPr>
      </w:pPr>
      <w:bookmarkStart w:id="10" w:name="bookmark20"/>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4.2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.3</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表层样点预布设技术路线</w:t>
      </w:r>
      <w:bookmarkEnd w:id="10"/>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表层样点预布设分为工作底图制作与表层样点布设两部分。工作底图制作部分需要准备二普土壤图、三调土地利用图、</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DEM、</w:t>
      </w:r>
      <w:r>
        <w:rPr>
          <w:rFonts w:hint="eastAsia" w:asciiTheme="minorEastAsia" w:hAnsiTheme="minorEastAsia" w:eastAsiaTheme="minorEastAsia" w:cstheme="minorEastAsia"/>
          <w:color w:val="000000"/>
          <w:spacing w:val="0"/>
          <w:w w:val="100"/>
          <w:position w:val="0"/>
          <w:sz w:val="24"/>
          <w:szCs w:val="24"/>
          <w:shd w:val="clear" w:color="auto" w:fill="auto"/>
        </w:rPr>
        <w:t>行政区划图等基础图件，然后对基础数据进行处理。表层样点布设部分首先需要生成布点底图，接着规划样点总数，其次确定样点数量，再次确定样点位置，最后形成布点方案。图1为表层样点预布设技术路线。</w:t>
      </w:r>
    </w:p>
    <w:p>
      <w:pPr>
        <w:pStyle w:val="21"/>
        <w:keepNext/>
        <w:keepLines/>
        <w:widowControl w:val="0"/>
        <w:numPr>
          <w:ilvl w:val="0"/>
          <w:numId w:val="0"/>
        </w:numPr>
        <w:shd w:val="clear" w:color="auto" w:fill="auto"/>
        <w:tabs>
          <w:tab w:val="left" w:pos="883"/>
        </w:tabs>
        <w:bidi w:val="0"/>
        <w:spacing w:before="0" w:after="0" w:line="316" w:lineRule="exact"/>
        <w:ind w:leftChars="0" w:right="0" w:rightChars="0"/>
        <w:jc w:val="left"/>
        <w:rPr>
          <w:rFonts w:hint="eastAsia" w:asciiTheme="majorEastAsia" w:hAnsiTheme="majorEastAsia" w:eastAsiaTheme="majorEastAsia" w:cstheme="majorEastAsia"/>
          <w:b/>
          <w:bCs/>
          <w:sz w:val="24"/>
          <w:szCs w:val="24"/>
        </w:rPr>
      </w:pPr>
      <w:bookmarkStart w:id="11" w:name="bookmark22"/>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4.2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.4</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表层样点预布设操作步骤</w:t>
      </w:r>
      <w:bookmarkEnd w:id="11"/>
    </w:p>
    <w:p>
      <w:pPr>
        <w:pStyle w:val="9"/>
        <w:keepNext w:val="0"/>
        <w:keepLines w:val="0"/>
        <w:widowControl w:val="0"/>
        <w:numPr>
          <w:ilvl w:val="0"/>
          <w:numId w:val="0"/>
        </w:numPr>
        <w:shd w:val="clear" w:color="auto" w:fill="auto"/>
        <w:tabs>
          <w:tab w:val="left" w:pos="291"/>
        </w:tabs>
        <w:bidi w:val="0"/>
        <w:spacing w:before="0" w:after="0" w:line="316" w:lineRule="exact"/>
        <w:ind w:leftChars="0" w:right="0" w:right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4.2.4.1 </w:t>
      </w:r>
      <w:r>
        <w:rPr>
          <w:rFonts w:hint="eastAsia" w:asciiTheme="majorEastAsia" w:hAnsiTheme="majorEastAsia" w:eastAsiaTheme="majorEastAsia" w:cstheme="majorEastAsia"/>
          <w:b/>
          <w:bCs/>
          <w:color w:val="000000"/>
          <w:spacing w:val="0"/>
          <w:w w:val="100"/>
          <w:position w:val="0"/>
          <w:sz w:val="24"/>
          <w:szCs w:val="24"/>
          <w:shd w:val="clear" w:color="auto" w:fill="auto"/>
        </w:rPr>
        <w:t>布点底图生成与分区分类处理</w:t>
      </w:r>
    </w:p>
    <w:p>
      <w:pPr>
        <w:pStyle w:val="9"/>
        <w:keepNext w:val="0"/>
        <w:keepLines w:val="0"/>
        <w:widowControl w:val="0"/>
        <w:shd w:val="clear" w:color="auto" w:fill="auto"/>
        <w:bidi w:val="0"/>
        <w:spacing w:before="0" w:after="0" w:line="316" w:lineRule="exact"/>
        <w:ind w:left="0" w:right="0" w:firstLine="679" w:firstLineChars="283"/>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布点底图是表层样点布设的基础，所有表层样点均分布在布点底图范围内。</w:t>
      </w:r>
    </w:p>
    <w:p>
      <w:pPr>
        <w:pStyle w:val="9"/>
        <w:keepNext w:val="0"/>
        <w:keepLines w:val="0"/>
        <w:widowControl w:val="0"/>
        <w:shd w:val="clear" w:color="auto" w:fill="auto"/>
        <w:bidi w:val="0"/>
        <w:spacing w:before="0" w:after="0" w:line="240" w:lineRule="auto"/>
        <w:ind w:left="0" w:right="0"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（1）布点底图生成。</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从普查县1：1万全要素土地利用现状图中提取耕园地、林草盐碱地、线状地物（公路用地、城镇村道路用地、农村道路、沟渠）图层，将线状地物融并到前两个图层，再与经过空间配准标准化处理、统一比例尺（1：1万）和图斑精度的土壤图叠加，生成叠加图斑。叠加图斑是布点底图生成过程中的重要图层。</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（2）布点底图分区。</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将叠加图斑分为地理标志农产品区（简称地标区）、非地理标志农产品区（简称非地标区）两大类图层，地标区图层按二级地类和土种合并，非地标区耕地按二级地类和土种合并，非地标区园地按二级地类与土种合并，非地标区非牧区省林草盐碱地按一级地类和土属合并，非地标区牧区省与食物生产相关的林草盐碱地按二级地类和土种合并，非地标区牧区省与食物生产无关的林草盐碱地按二级地类和土属合并。对合并后的叠加图斑进行线状地物擦除处理。</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（3）布点底图分类。</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将（1）、（2）中生成的地标区与非地标区叠加图斑按照地形地貌特点，分为平地型图斑、丘陵山地型图斑2种图斑。将耕园地叠加图斑与</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DEM</w:t>
      </w:r>
      <w:r>
        <w:rPr>
          <w:rFonts w:hint="eastAsia" w:asciiTheme="minorEastAsia" w:hAnsiTheme="minorEastAsia" w:eastAsiaTheme="minorEastAsia" w:cstheme="minorEastAsia"/>
          <w:color w:val="000000"/>
          <w:spacing w:val="0"/>
          <w:w w:val="100"/>
          <w:position w:val="0"/>
          <w:sz w:val="24"/>
          <w:szCs w:val="24"/>
          <w:shd w:val="clear" w:color="auto" w:fill="auto"/>
        </w:rPr>
        <w:t>数据空间套合，统计每个耕园地叠加图斑内的平均坡度</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（Average Slope,AS）,</w:t>
      </w:r>
      <w:r>
        <w:rPr>
          <w:rFonts w:hint="eastAsia" w:asciiTheme="minorEastAsia" w:hAnsiTheme="minorEastAsia" w:eastAsiaTheme="minorEastAsia" w:cstheme="minorEastAsia"/>
          <w:color w:val="000000"/>
          <w:spacing w:val="0"/>
          <w:w w:val="100"/>
          <w:position w:val="0"/>
          <w:sz w:val="24"/>
          <w:szCs w:val="24"/>
          <w:shd w:val="clear" w:color="auto" w:fill="auto"/>
        </w:rPr>
        <w:t>当</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AS</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6</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w:t>
      </w:r>
      <w:r>
        <w:rPr>
          <w:rFonts w:hint="eastAsia" w:asciiTheme="minorEastAsia" w:hAnsiTheme="minorEastAsia" w:eastAsiaTheme="minorEastAsia" w:cstheme="minorEastAsia"/>
          <w:color w:val="000000"/>
          <w:spacing w:val="0"/>
          <w:w w:val="100"/>
          <w:position w:val="0"/>
          <w:sz w:val="24"/>
          <w:szCs w:val="24"/>
          <w:shd w:val="clear" w:color="auto" w:fill="auto"/>
        </w:rPr>
        <w:t>时，为平地型图斑。当</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AS</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6</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w:t>
      </w:r>
      <w:r>
        <w:rPr>
          <w:rFonts w:hint="eastAsia" w:asciiTheme="minorEastAsia" w:hAnsiTheme="minorEastAsia" w:eastAsiaTheme="minorEastAsia" w:cstheme="minorEastAsia"/>
          <w:color w:val="000000"/>
          <w:spacing w:val="0"/>
          <w:w w:val="100"/>
          <w:position w:val="0"/>
          <w:sz w:val="24"/>
          <w:szCs w:val="24"/>
          <w:shd w:val="clear" w:color="auto" w:fill="auto"/>
        </w:rPr>
        <w:t>时，为丘陵山地型图斑。</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（4）布点底图处理。</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村庄、城镇用地附近不布点处理:从国土三调地类图斑中提取村庄、城镇用地要素,生成缓冲区图层,将耕园地叠加图斑与缓冲区图层空间套合,擦除耕园地叠加图斑中与缓冲区重叠部分,确保村庄、城镇用地附近不布点。</w:t>
      </w:r>
    </w:p>
    <w:p>
      <w:pPr>
        <w:pStyle w:val="9"/>
        <w:keepNext w:val="0"/>
        <w:keepLines w:val="0"/>
        <w:widowControl w:val="0"/>
        <w:shd w:val="clear" w:color="auto" w:fill="auto"/>
        <w:bidi w:val="0"/>
        <w:spacing w:before="0" w:after="0" w:line="316" w:lineRule="exact"/>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缓冲区范围：</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40m,</w:t>
      </w:r>
      <w:r>
        <w:rPr>
          <w:rFonts w:hint="eastAsia" w:asciiTheme="minorEastAsia" w:hAnsiTheme="minorEastAsia" w:eastAsiaTheme="minorEastAsia" w:cstheme="minorEastAsia"/>
          <w:color w:val="000000"/>
          <w:spacing w:val="0"/>
          <w:w w:val="100"/>
          <w:position w:val="0"/>
          <w:sz w:val="24"/>
          <w:szCs w:val="24"/>
          <w:shd w:val="clear" w:color="auto" w:fill="auto"/>
        </w:rPr>
        <w:t>包括城镇住宅用地、农村宅基地、特殊用地。</w:t>
      </w:r>
    </w:p>
    <w:p>
      <w:pPr>
        <w:pStyle w:val="29"/>
        <w:keepNext w:val="0"/>
        <w:keepLines w:val="0"/>
        <w:widowControl w:val="0"/>
        <w:shd w:val="clear" w:color="auto" w:fill="auto"/>
        <w:bidi w:val="0"/>
        <w:spacing w:before="0" w:after="120" w:line="240" w:lineRule="auto"/>
        <w:ind w:left="0" w:right="0" w:firstLine="0"/>
        <w:jc w:val="center"/>
      </w:pPr>
      <w:r>
        <w:rPr>
          <w:b/>
          <w:bCs/>
          <w:color w:val="000000"/>
          <w:spacing w:val="0"/>
          <w:w w:val="100"/>
          <w:position w:val="0"/>
          <w:shd w:val="clear" w:color="auto" w:fill="auto"/>
        </w:rPr>
        <w:drawing>
          <wp:inline distT="0" distB="0" distL="114300" distR="114300">
            <wp:extent cx="5890260" cy="8020685"/>
            <wp:effectExtent l="0" t="0" r="7620" b="10795"/>
            <wp:docPr id="2" name="图片 2" descr="123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23456"/>
                    <pic:cNvPicPr>
                      <a:picLocks noChangeAspect="1"/>
                    </pic:cNvPicPr>
                  </pic:nvPicPr>
                  <pic:blipFill>
                    <a:blip r:embed="rId20"/>
                    <a:stretch>
                      <a:fillRect/>
                    </a:stretch>
                  </pic:blipFill>
                  <pic:spPr>
                    <a:xfrm>
                      <a:off x="0" y="0"/>
                      <a:ext cx="5890260" cy="8020685"/>
                    </a:xfrm>
                    <a:prstGeom prst="rect">
                      <a:avLst/>
                    </a:prstGeom>
                  </pic:spPr>
                </pic:pic>
              </a:graphicData>
            </a:graphic>
          </wp:inline>
        </w:drawing>
      </w:r>
    </w:p>
    <w:p>
      <w:pPr>
        <w:pStyle w:val="9"/>
        <w:keepNext w:val="0"/>
        <w:keepLines w:val="0"/>
        <w:widowControl w:val="0"/>
        <w:shd w:val="clear" w:color="auto" w:fill="auto"/>
        <w:bidi w:val="0"/>
        <w:spacing w:before="0" w:after="320" w:line="315" w:lineRule="exact"/>
        <w:ind w:left="0" w:right="0" w:firstLine="440"/>
        <w:jc w:val="both"/>
        <w:outlineLvl w:val="9"/>
        <w:rPr>
          <w:sz w:val="24"/>
          <w:szCs w:val="24"/>
        </w:rPr>
      </w:pPr>
      <w:r>
        <w:rPr>
          <w:color w:val="000000"/>
          <w:spacing w:val="0"/>
          <w:w w:val="100"/>
          <w:position w:val="0"/>
          <w:sz w:val="24"/>
          <w:szCs w:val="24"/>
          <w:shd w:val="clear" w:color="auto" w:fill="auto"/>
        </w:rPr>
        <w:t>山区林草地样点道路可达处理：从林草地叠加图斑中提取丘陵山地林草地叠加图斑，从国土三调地类图斑中提取道路（公路用地、城镇村道路用地、农村道路）要素，并生成缓冲区图层（缓冲区范围</w:t>
      </w:r>
      <w:r>
        <w:rPr>
          <w:color w:val="000000"/>
          <w:spacing w:val="0"/>
          <w:w w:val="100"/>
          <w:position w:val="0"/>
          <w:sz w:val="24"/>
          <w:szCs w:val="24"/>
          <w:shd w:val="clear" w:color="auto" w:fill="auto"/>
          <w:lang w:val="en-US" w:eastAsia="en-US" w:bidi="en-US"/>
        </w:rPr>
        <w:t>50</w:t>
      </w:r>
      <w:r>
        <w:rPr>
          <w:rFonts w:hint="eastAsia"/>
          <w:color w:val="000000"/>
          <w:spacing w:val="0"/>
          <w:w w:val="100"/>
          <w:position w:val="0"/>
          <w:sz w:val="24"/>
          <w:szCs w:val="24"/>
          <w:shd w:val="clear" w:color="auto" w:fill="auto"/>
          <w:lang w:val="en-US" w:eastAsia="zh-CN" w:bidi="en-US"/>
        </w:rPr>
        <w:t>～</w:t>
      </w:r>
      <w:r>
        <w:rPr>
          <w:color w:val="000000"/>
          <w:spacing w:val="0"/>
          <w:w w:val="100"/>
          <w:position w:val="0"/>
          <w:sz w:val="24"/>
          <w:szCs w:val="24"/>
          <w:shd w:val="clear" w:color="auto" w:fill="auto"/>
          <w:lang w:val="en-US" w:eastAsia="en-US" w:bidi="en-US"/>
        </w:rPr>
        <w:t>500m）；</w:t>
      </w:r>
      <w:r>
        <w:rPr>
          <w:color w:val="000000"/>
          <w:spacing w:val="0"/>
          <w:w w:val="100"/>
          <w:position w:val="0"/>
          <w:sz w:val="24"/>
          <w:szCs w:val="24"/>
          <w:shd w:val="clear" w:color="auto" w:fill="auto"/>
        </w:rPr>
        <w:t>将缓冲区图层与山区林草地叠加图斑套合，选择与缓冲区有重合的叠加图斑进行布点，确保山区林草地样点道路可达。</w:t>
      </w:r>
    </w:p>
    <w:p>
      <w:pPr>
        <w:pStyle w:val="9"/>
        <w:keepNext w:val="0"/>
        <w:keepLines w:val="0"/>
        <w:widowControl w:val="0"/>
        <w:shd w:val="clear" w:color="auto" w:fill="auto"/>
        <w:bidi w:val="0"/>
        <w:spacing w:before="0" w:after="0" w:line="317"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（5）图层分类与生成。</w:t>
      </w:r>
    </w:p>
    <w:p>
      <w:pPr>
        <w:pStyle w:val="9"/>
        <w:keepNext w:val="0"/>
        <w:keepLines w:val="0"/>
        <w:widowControl w:val="0"/>
        <w:shd w:val="clear" w:color="auto" w:fill="auto"/>
        <w:bidi w:val="0"/>
        <w:spacing w:before="0" w:after="0" w:line="317"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将经过以上处理的叠加图斑分成17个图层，分别在每个图层内布点。17个图层包括6个耕地图层（水田平地、水田丘陵山地、水浇地平地、水浇地丘陵山地、旱地平地、旱地丘陵山地），6个园地图层（果园平地、果园丘陵山地、茶园平地、茶园丘陵山地、其他园地平地、其他园地丘陵山地），2个林地图层（乔木林地、竹林地、灌木林地、其他林地图层与橡胶园地图层），3个草地图层（天然牧草地、人工牧草地、其他草地与盐碱地）。普查县内地标与非地标区的耕园林草盐碱地均按照上述方式进行分层。</w:t>
      </w:r>
    </w:p>
    <w:p>
      <w:pPr>
        <w:pStyle w:val="9"/>
        <w:keepNext w:val="0"/>
        <w:keepLines w:val="0"/>
        <w:widowControl w:val="0"/>
        <w:shd w:val="clear" w:color="auto" w:fill="auto"/>
        <w:bidi w:val="0"/>
        <w:spacing w:before="0" w:after="0" w:line="317" w:lineRule="exact"/>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4.2.4.</w:t>
      </w:r>
      <w:r>
        <w:rPr>
          <w:rFonts w:hint="eastAsia" w:asciiTheme="majorEastAsia" w:hAnsiTheme="majorEastAsia" w:eastAsiaTheme="majorEastAsia" w:cstheme="majorEastAsia"/>
          <w:b/>
          <w:bCs/>
          <w:color w:val="000000"/>
          <w:spacing w:val="0"/>
          <w:w w:val="100"/>
          <w:position w:val="0"/>
          <w:sz w:val="24"/>
          <w:szCs w:val="24"/>
          <w:shd w:val="clear" w:color="auto" w:fill="auto"/>
        </w:rPr>
        <w:t>2样点总数规划。</w:t>
      </w:r>
    </w:p>
    <w:p>
      <w:pPr>
        <w:pStyle w:val="9"/>
        <w:keepNext w:val="0"/>
        <w:keepLines w:val="0"/>
        <w:widowControl w:val="0"/>
        <w:shd w:val="clear" w:color="auto" w:fill="auto"/>
        <w:bidi w:val="0"/>
        <w:spacing w:before="0" w:after="200" w:line="317" w:lineRule="exact"/>
        <w:ind w:left="0" w:right="0" w:firstLine="440"/>
        <w:jc w:val="both"/>
      </w:pPr>
      <w:r>
        <w:rPr>
          <w:rFonts w:hint="eastAsia" w:asciiTheme="minorEastAsia" w:hAnsiTheme="minorEastAsia" w:eastAsiaTheme="minorEastAsia" w:cstheme="minorEastAsia"/>
          <w:color w:val="000000"/>
          <w:spacing w:val="0"/>
          <w:w w:val="100"/>
          <w:position w:val="0"/>
          <w:sz w:val="24"/>
          <w:szCs w:val="24"/>
          <w:shd w:val="clear" w:color="auto" w:fill="auto"/>
        </w:rPr>
        <w:t>统计各类型区不同土地利用类型的面积，根据各类型区规划的布样密度，采用面积法确定普查县采样点数量。将普查县各类型区总面积除以相应的规划布样密度，初步确定普查县采样点数量，各类型区规划布样密度见表2和表3。</w:t>
      </w:r>
    </w:p>
    <w:p>
      <w:pPr>
        <w:pStyle w:val="23"/>
        <w:keepNext w:val="0"/>
        <w:keepLines w:val="0"/>
        <w:widowControl w:val="0"/>
        <w:shd w:val="clear" w:color="auto" w:fill="auto"/>
        <w:bidi w:val="0"/>
        <w:spacing w:before="0" w:after="0" w:line="240" w:lineRule="auto"/>
        <w:ind w:left="3000" w:right="0" w:firstLine="0"/>
        <w:jc w:val="left"/>
      </w:pPr>
      <w:r>
        <w:rPr>
          <w:rFonts w:hint="eastAsia" w:asciiTheme="majorEastAsia" w:hAnsiTheme="majorEastAsia" w:eastAsiaTheme="majorEastAsia" w:cstheme="majorEastAsia"/>
          <w:color w:val="000000"/>
          <w:spacing w:val="0"/>
          <w:w w:val="100"/>
          <w:position w:val="0"/>
          <w:sz w:val="21"/>
          <w:szCs w:val="21"/>
          <w:shd w:val="clear" w:color="auto" w:fill="auto"/>
        </w:rPr>
        <w:t>表2</w:t>
      </w:r>
      <w:r>
        <w:rPr>
          <w:rFonts w:hint="eastAsia" w:asciiTheme="majorEastAsia" w:hAnsiTheme="majorEastAsia" w:eastAsiaTheme="majorEastAsia" w:cstheme="majorEastAsia"/>
          <w:color w:val="000000"/>
          <w:spacing w:val="0"/>
          <w:w w:val="100"/>
          <w:position w:val="0"/>
          <w:sz w:val="21"/>
          <w:szCs w:val="21"/>
          <w:shd w:val="clear" w:color="auto" w:fill="auto"/>
          <w:lang w:val="en-US" w:eastAsia="zh-CN"/>
        </w:rPr>
        <w:t xml:space="preserve"> </w:t>
      </w:r>
      <w:r>
        <w:rPr>
          <w:rFonts w:hint="eastAsia" w:asciiTheme="majorEastAsia" w:hAnsiTheme="majorEastAsia" w:eastAsiaTheme="majorEastAsia" w:cstheme="majorEastAsia"/>
          <w:color w:val="000000"/>
          <w:spacing w:val="0"/>
          <w:w w:val="100"/>
          <w:position w:val="0"/>
          <w:sz w:val="21"/>
          <w:szCs w:val="21"/>
          <w:shd w:val="clear" w:color="auto" w:fill="auto"/>
        </w:rPr>
        <w:t>非地理标志农产品区规划布样密度</w:t>
      </w:r>
    </w:p>
    <w:tbl>
      <w:tblPr>
        <w:tblStyle w:val="4"/>
        <w:tblW w:w="0" w:type="auto"/>
        <w:jc w:val="center"/>
        <w:tblLayout w:type="fixed"/>
        <w:tblCellMar>
          <w:top w:w="0" w:type="dxa"/>
          <w:left w:w="10" w:type="dxa"/>
          <w:bottom w:w="0" w:type="dxa"/>
          <w:right w:w="10" w:type="dxa"/>
        </w:tblCellMar>
      </w:tblPr>
      <w:tblGrid>
        <w:gridCol w:w="2894"/>
        <w:gridCol w:w="2885"/>
        <w:gridCol w:w="3456"/>
      </w:tblGrid>
      <w:tr>
        <w:tblPrEx>
          <w:tblCellMar>
            <w:top w:w="0" w:type="dxa"/>
            <w:left w:w="10" w:type="dxa"/>
            <w:bottom w:w="0" w:type="dxa"/>
            <w:right w:w="10" w:type="dxa"/>
          </w:tblCellMar>
        </w:tblPrEx>
        <w:trPr>
          <w:trHeight w:val="365"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土地利用类型</w:t>
            </w:r>
          </w:p>
        </w:tc>
        <w:tc>
          <w:tcPr>
            <w:tcW w:w="2885" w:type="dxa"/>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18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地形地貌、区域特征与二级地类</w:t>
            </w:r>
          </w:p>
        </w:tc>
        <w:tc>
          <w:tcPr>
            <w:tcW w:w="3456" w:type="dxa"/>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布样密度</w:t>
            </w:r>
          </w:p>
        </w:tc>
      </w:tr>
      <w:tr>
        <w:tblPrEx>
          <w:tblCellMar>
            <w:top w:w="0" w:type="dxa"/>
            <w:left w:w="10" w:type="dxa"/>
            <w:bottom w:w="0" w:type="dxa"/>
            <w:right w:w="10" w:type="dxa"/>
          </w:tblCellMar>
        </w:tblPrEx>
        <w:trPr>
          <w:trHeight w:val="360" w:hRule="exact"/>
          <w:jc w:val="center"/>
        </w:trPr>
        <w:tc>
          <w:tcPr>
            <w:vMerge w:val="restart"/>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val="0"/>
                <w:bCs w:val="0"/>
                <w:color w:val="000000"/>
                <w:spacing w:val="0"/>
                <w:w w:val="100"/>
                <w:position w:val="0"/>
                <w:sz w:val="18"/>
                <w:szCs w:val="18"/>
                <w:shd w:val="clear" w:color="auto" w:fill="auto"/>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耕园地</w:t>
            </w:r>
          </w:p>
        </w:tc>
        <w:tc>
          <w:tcPr>
            <w:tcW w:w="2885" w:type="dxa"/>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val="0"/>
                <w:bCs w:val="0"/>
                <w:color w:val="000000"/>
                <w:spacing w:val="0"/>
                <w:w w:val="100"/>
                <w:position w:val="0"/>
                <w:sz w:val="18"/>
                <w:szCs w:val="18"/>
                <w:shd w:val="clear" w:color="auto" w:fill="auto"/>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平地</w:t>
            </w:r>
          </w:p>
        </w:tc>
        <w:tc>
          <w:tcPr>
            <w:tcW w:w="3456" w:type="dxa"/>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1个/1</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km</w:t>
            </w:r>
            <w:r>
              <w:rPr>
                <w:rFonts w:hint="eastAsia" w:asciiTheme="minorEastAsia" w:hAnsiTheme="minorEastAsia" w:eastAsiaTheme="minorEastAsia" w:cstheme="minorEastAsia"/>
                <w:b w:val="0"/>
                <w:bCs w:val="0"/>
                <w:color w:val="000000"/>
                <w:spacing w:val="0"/>
                <w:w w:val="100"/>
                <w:position w:val="0"/>
                <w:sz w:val="18"/>
                <w:szCs w:val="18"/>
                <w:shd w:val="clear" w:color="auto" w:fill="auto"/>
                <w:vertAlign w:val="superscript"/>
                <w:lang w:val="en-US" w:eastAsia="en-US" w:bidi="en-US"/>
              </w:rPr>
              <w:t>2</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p>
        </w:tc>
        <w:tc>
          <w:tcPr>
            <w:tcW w:w="2885" w:type="dxa"/>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180"/>
              <w:jc w:val="cente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t>丘陵山地</w:t>
            </w:r>
          </w:p>
        </w:tc>
        <w:tc>
          <w:tcPr>
            <w:tcW w:w="3456" w:type="dxa"/>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1个</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/O.</w:t>
            </w:r>
            <w:r>
              <w:rPr>
                <w:rFonts w:hint="eastAsia" w:asciiTheme="minorEastAsia" w:hAnsiTheme="minorEastAsia" w:eastAsiaTheme="minorEastAsia" w:cstheme="minorEastAsia"/>
                <w:b w:val="0"/>
                <w:bCs w:val="0"/>
                <w:color w:val="000000"/>
                <w:spacing w:val="0"/>
                <w:w w:val="100"/>
                <w:position w:val="0"/>
                <w:sz w:val="18"/>
                <w:szCs w:val="18"/>
                <w:shd w:val="clear" w:color="auto" w:fill="auto"/>
              </w:rPr>
              <w:t>5</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km</w:t>
            </w:r>
            <w:r>
              <w:rPr>
                <w:rFonts w:hint="eastAsia" w:asciiTheme="minorEastAsia" w:hAnsiTheme="minorEastAsia" w:eastAsiaTheme="minorEastAsia" w:cstheme="minorEastAsia"/>
                <w:b w:val="0"/>
                <w:bCs w:val="0"/>
                <w:color w:val="000000"/>
                <w:spacing w:val="0"/>
                <w:w w:val="100"/>
                <w:position w:val="0"/>
                <w:sz w:val="18"/>
                <w:szCs w:val="18"/>
                <w:shd w:val="clear" w:color="auto" w:fill="auto"/>
                <w:vertAlign w:val="superscript"/>
                <w:lang w:val="en-US" w:eastAsia="en-US" w:bidi="en-US"/>
              </w:rPr>
              <w:t>2</w:t>
            </w:r>
          </w:p>
        </w:tc>
      </w:tr>
      <w:tr>
        <w:tblPrEx>
          <w:tblCellMar>
            <w:top w:w="0" w:type="dxa"/>
            <w:left w:w="10" w:type="dxa"/>
            <w:bottom w:w="0" w:type="dxa"/>
            <w:right w:w="10" w:type="dxa"/>
          </w:tblCellMar>
        </w:tblPrEx>
        <w:trPr>
          <w:trHeight w:val="283" w:hRule="exact"/>
          <w:jc w:val="center"/>
        </w:trPr>
        <w:tc>
          <w:tcPr>
            <w:vMerge w:val="restart"/>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t>林地</w:t>
            </w:r>
          </w:p>
        </w:tc>
        <w:tc>
          <w:tcPr>
            <w:tcW w:w="2885" w:type="dxa"/>
            <w:tcBorders>
              <w:top w:val="single" w:color="auto" w:sz="4" w:space="0"/>
              <w:left w:val="single" w:color="auto" w:sz="4" w:space="0"/>
            </w:tcBorders>
            <w:shd w:val="clear" w:color="auto" w:fill="auto"/>
            <w:vAlign w:val="bottom"/>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t>非牧区省</w:t>
            </w:r>
          </w:p>
        </w:tc>
        <w:tc>
          <w:tcPr>
            <w:tcW w:w="3456" w:type="dxa"/>
            <w:tcBorders>
              <w:top w:val="single" w:color="auto" w:sz="4" w:space="0"/>
              <w:left w:val="single" w:color="auto" w:sz="4" w:space="0"/>
              <w:right w:val="single" w:color="auto" w:sz="4" w:space="0"/>
            </w:tcBorders>
            <w:shd w:val="clear" w:color="auto" w:fill="auto"/>
            <w:vAlign w:val="bottom"/>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1个/16</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km</w:t>
            </w:r>
            <w:r>
              <w:rPr>
                <w:rFonts w:hint="eastAsia" w:asciiTheme="minorEastAsia" w:hAnsiTheme="minorEastAsia" w:eastAsiaTheme="minorEastAsia" w:cstheme="minorEastAsia"/>
                <w:b w:val="0"/>
                <w:bCs w:val="0"/>
                <w:color w:val="000000"/>
                <w:spacing w:val="0"/>
                <w:w w:val="100"/>
                <w:position w:val="0"/>
                <w:sz w:val="18"/>
                <w:szCs w:val="18"/>
                <w:shd w:val="clear" w:color="auto" w:fill="auto"/>
                <w:vertAlign w:val="superscript"/>
                <w:lang w:val="en-US" w:eastAsia="en-US" w:bidi="en-US"/>
              </w:rPr>
              <w:t>2</w:t>
            </w:r>
          </w:p>
        </w:tc>
      </w:tr>
      <w:tr>
        <w:tblPrEx>
          <w:tblCellMar>
            <w:top w:w="0" w:type="dxa"/>
            <w:left w:w="10" w:type="dxa"/>
            <w:bottom w:w="0" w:type="dxa"/>
            <w:right w:w="10" w:type="dxa"/>
          </w:tblCellMar>
        </w:tblPrEx>
        <w:trPr>
          <w:trHeight w:val="283" w:hRule="exact"/>
          <w:jc w:val="center"/>
        </w:trPr>
        <w:tc>
          <w:tcPr>
            <w:vMerge w:val="continue"/>
            <w:tcBorders>
              <w:lef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p>
        </w:tc>
        <w:tc>
          <w:tcPr>
            <w:tcW w:w="2885" w:type="dxa"/>
            <w:tcBorders>
              <w:top w:val="single" w:color="auto" w:sz="4" w:space="0"/>
              <w:left w:val="single" w:color="auto" w:sz="4" w:space="0"/>
            </w:tcBorders>
            <w:shd w:val="clear" w:color="auto" w:fill="auto"/>
            <w:vAlign w:val="bottom"/>
          </w:tcPr>
          <w:p>
            <w:pPr>
              <w:pStyle w:val="25"/>
              <w:keepNext w:val="0"/>
              <w:keepLines w:val="0"/>
              <w:widowControl w:val="0"/>
              <w:shd w:val="clear" w:color="auto" w:fill="auto"/>
              <w:bidi w:val="0"/>
              <w:spacing w:before="0" w:after="0" w:line="240" w:lineRule="auto"/>
              <w:ind w:left="0" w:right="0" w:firstLine="180"/>
              <w:jc w:val="cente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t>牧区省，与食物生产相关</w:t>
            </w:r>
          </w:p>
        </w:tc>
        <w:tc>
          <w:tcPr>
            <w:tcW w:w="3456" w:type="dxa"/>
            <w:tcBorders>
              <w:top w:val="single" w:color="auto" w:sz="4" w:space="0"/>
              <w:left w:val="single" w:color="auto" w:sz="4" w:space="0"/>
              <w:right w:val="single" w:color="auto" w:sz="4" w:space="0"/>
            </w:tcBorders>
            <w:shd w:val="clear" w:color="auto" w:fill="auto"/>
            <w:vAlign w:val="bottom"/>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1个/16</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km</w:t>
            </w:r>
            <w:r>
              <w:rPr>
                <w:rFonts w:hint="eastAsia" w:asciiTheme="minorEastAsia" w:hAnsiTheme="minorEastAsia" w:eastAsiaTheme="minorEastAsia" w:cstheme="minorEastAsia"/>
                <w:b w:val="0"/>
                <w:bCs w:val="0"/>
                <w:color w:val="000000"/>
                <w:spacing w:val="0"/>
                <w:w w:val="100"/>
                <w:position w:val="0"/>
                <w:sz w:val="18"/>
                <w:szCs w:val="18"/>
                <w:shd w:val="clear" w:color="auto" w:fill="auto"/>
                <w:vertAlign w:val="superscript"/>
                <w:lang w:val="en-US" w:eastAsia="en-US" w:bidi="en-US"/>
              </w:rPr>
              <w:t>2</w:t>
            </w:r>
          </w:p>
        </w:tc>
      </w:tr>
      <w:tr>
        <w:tblPrEx>
          <w:tblCellMar>
            <w:top w:w="0" w:type="dxa"/>
            <w:left w:w="10" w:type="dxa"/>
            <w:bottom w:w="0" w:type="dxa"/>
            <w:right w:w="10" w:type="dxa"/>
          </w:tblCellMar>
        </w:tblPrEx>
        <w:trPr>
          <w:trHeight w:val="283" w:hRule="exact"/>
          <w:jc w:val="center"/>
        </w:trPr>
        <w:tc>
          <w:tcPr>
            <w:vMerge w:val="continue"/>
            <w:tcBorders>
              <w:lef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p>
        </w:tc>
        <w:tc>
          <w:tcPr>
            <w:tcW w:w="2885" w:type="dxa"/>
            <w:tcBorders>
              <w:top w:val="single" w:color="auto" w:sz="4" w:space="0"/>
              <w:left w:val="single" w:color="auto" w:sz="4" w:space="0"/>
            </w:tcBorders>
            <w:shd w:val="clear" w:color="auto" w:fill="auto"/>
            <w:vAlign w:val="bottom"/>
          </w:tcPr>
          <w:p>
            <w:pPr>
              <w:pStyle w:val="25"/>
              <w:keepNext w:val="0"/>
              <w:keepLines w:val="0"/>
              <w:widowControl w:val="0"/>
              <w:shd w:val="clear" w:color="auto" w:fill="auto"/>
              <w:bidi w:val="0"/>
              <w:spacing w:before="0" w:after="0" w:line="240" w:lineRule="auto"/>
              <w:ind w:left="0" w:right="0" w:firstLine="180"/>
              <w:jc w:val="cente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t>牧区省，与食物生产无关</w:t>
            </w:r>
          </w:p>
        </w:tc>
        <w:tc>
          <w:tcPr>
            <w:tcW w:w="3456" w:type="dxa"/>
            <w:tcBorders>
              <w:top w:val="single" w:color="auto" w:sz="4" w:space="0"/>
              <w:left w:val="single" w:color="auto" w:sz="4" w:space="0"/>
              <w:right w:val="single" w:color="auto" w:sz="4" w:space="0"/>
            </w:tcBorders>
            <w:shd w:val="clear" w:color="auto" w:fill="auto"/>
            <w:vAlign w:val="bottom"/>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1个/36</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km</w:t>
            </w:r>
            <w:r>
              <w:rPr>
                <w:rFonts w:hint="eastAsia" w:asciiTheme="minorEastAsia" w:hAnsiTheme="minorEastAsia" w:eastAsiaTheme="minorEastAsia" w:cstheme="minorEastAsia"/>
                <w:b w:val="0"/>
                <w:bCs w:val="0"/>
                <w:color w:val="000000"/>
                <w:spacing w:val="0"/>
                <w:w w:val="100"/>
                <w:position w:val="0"/>
                <w:sz w:val="18"/>
                <w:szCs w:val="18"/>
                <w:shd w:val="clear" w:color="auto" w:fill="auto"/>
                <w:vertAlign w:val="superscript"/>
                <w:lang w:val="en-US" w:eastAsia="en-US" w:bidi="en-US"/>
              </w:rPr>
              <w:t>2</w:t>
            </w:r>
          </w:p>
        </w:tc>
      </w:tr>
      <w:tr>
        <w:tblPrEx>
          <w:tblCellMar>
            <w:top w:w="0" w:type="dxa"/>
            <w:left w:w="10" w:type="dxa"/>
            <w:bottom w:w="0" w:type="dxa"/>
            <w:right w:w="10" w:type="dxa"/>
          </w:tblCellMar>
        </w:tblPrEx>
        <w:trPr>
          <w:trHeight w:val="360" w:hRule="exact"/>
          <w:jc w:val="center"/>
        </w:trPr>
        <w:tc>
          <w:tcPr>
            <w:vMerge w:val="restart"/>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t>草地盐碱地</w:t>
            </w:r>
          </w:p>
        </w:tc>
        <w:tc>
          <w:tcPr>
            <w:tcW w:w="2885" w:type="dxa"/>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t>天然牧草地</w:t>
            </w:r>
          </w:p>
        </w:tc>
        <w:tc>
          <w:tcPr>
            <w:tcW w:w="3456" w:type="dxa"/>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1个/16</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km</w:t>
            </w:r>
            <w:r>
              <w:rPr>
                <w:rFonts w:hint="eastAsia" w:asciiTheme="minorEastAsia" w:hAnsiTheme="minorEastAsia" w:eastAsiaTheme="minorEastAsia" w:cstheme="minorEastAsia"/>
                <w:b w:val="0"/>
                <w:bCs w:val="0"/>
                <w:color w:val="000000"/>
                <w:spacing w:val="0"/>
                <w:w w:val="100"/>
                <w:position w:val="0"/>
                <w:sz w:val="18"/>
                <w:szCs w:val="18"/>
                <w:shd w:val="clear" w:color="auto" w:fill="auto"/>
                <w:vertAlign w:val="superscript"/>
                <w:lang w:val="en-US" w:eastAsia="en-US" w:bidi="en-US"/>
              </w:rPr>
              <w:t>2</w:t>
            </w:r>
          </w:p>
        </w:tc>
      </w:tr>
      <w:tr>
        <w:tblPrEx>
          <w:tblCellMar>
            <w:top w:w="0" w:type="dxa"/>
            <w:left w:w="10" w:type="dxa"/>
            <w:bottom w:w="0" w:type="dxa"/>
            <w:right w:w="10" w:type="dxa"/>
          </w:tblCellMar>
        </w:tblPrEx>
        <w:trPr>
          <w:trHeight w:val="365" w:hRule="exact"/>
          <w:jc w:val="center"/>
        </w:trPr>
        <w:tc>
          <w:tcPr>
            <w:vMerge w:val="continue"/>
            <w:tcBorders>
              <w:lef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p>
        </w:tc>
        <w:tc>
          <w:tcPr>
            <w:tcW w:w="2885" w:type="dxa"/>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180"/>
              <w:jc w:val="cente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t>人工牧草地</w:t>
            </w:r>
          </w:p>
        </w:tc>
        <w:tc>
          <w:tcPr>
            <w:tcW w:w="3456" w:type="dxa"/>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1个/4</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km</w:t>
            </w:r>
            <w:r>
              <w:rPr>
                <w:rFonts w:hint="eastAsia" w:asciiTheme="minorEastAsia" w:hAnsiTheme="minorEastAsia" w:eastAsiaTheme="minorEastAsia" w:cstheme="minorEastAsia"/>
                <w:b w:val="0"/>
                <w:bCs w:val="0"/>
                <w:color w:val="000000"/>
                <w:spacing w:val="0"/>
                <w:w w:val="100"/>
                <w:position w:val="0"/>
                <w:sz w:val="18"/>
                <w:szCs w:val="18"/>
                <w:shd w:val="clear" w:color="auto" w:fill="auto"/>
                <w:vertAlign w:val="superscript"/>
                <w:lang w:val="en-US" w:eastAsia="en-US" w:bidi="en-US"/>
              </w:rPr>
              <w:t>2</w:t>
            </w: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auto"/>
            <w:vAlign w:val="center"/>
          </w:tcPr>
          <w:p>
            <w:pP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p>
        </w:tc>
        <w:tc>
          <w:tcPr>
            <w:tcW w:w="2885" w:type="dxa"/>
            <w:tcBorders>
              <w:top w:val="single" w:color="auto" w:sz="4" w:space="0"/>
              <w:left w:val="single" w:color="auto" w:sz="4" w:space="0"/>
            </w:tcBorders>
            <w:shd w:val="clear" w:color="auto" w:fill="auto"/>
            <w:vAlign w:val="bottom"/>
          </w:tcPr>
          <w:p>
            <w:pPr>
              <w:pStyle w:val="25"/>
              <w:keepNext w:val="0"/>
              <w:keepLines w:val="0"/>
              <w:widowControl w:val="0"/>
              <w:shd w:val="clear" w:color="auto" w:fill="auto"/>
              <w:bidi w:val="0"/>
              <w:spacing w:before="0" w:after="0" w:line="240" w:lineRule="auto"/>
              <w:ind w:left="0" w:right="0" w:firstLine="180"/>
              <w:jc w:val="left"/>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t>牧区省，其他草地盐碱地</w:t>
            </w:r>
          </w:p>
        </w:tc>
        <w:tc>
          <w:tcPr>
            <w:tcW w:w="3456" w:type="dxa"/>
            <w:tcBorders>
              <w:top w:val="single" w:color="auto" w:sz="4" w:space="0"/>
              <w:left w:val="single" w:color="auto" w:sz="4" w:space="0"/>
              <w:right w:val="single" w:color="auto" w:sz="4" w:space="0"/>
            </w:tcBorders>
            <w:shd w:val="clear" w:color="auto" w:fill="auto"/>
            <w:vAlign w:val="bottom"/>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1个/36</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km</w:t>
            </w:r>
            <w:r>
              <w:rPr>
                <w:rFonts w:hint="eastAsia" w:asciiTheme="minorEastAsia" w:hAnsiTheme="minorEastAsia" w:eastAsiaTheme="minorEastAsia" w:cstheme="minorEastAsia"/>
                <w:b w:val="0"/>
                <w:bCs w:val="0"/>
                <w:color w:val="000000"/>
                <w:spacing w:val="0"/>
                <w:w w:val="100"/>
                <w:position w:val="0"/>
                <w:sz w:val="18"/>
                <w:szCs w:val="18"/>
                <w:shd w:val="clear" w:color="auto" w:fill="auto"/>
                <w:vertAlign w:val="superscript"/>
                <w:lang w:val="en-US" w:eastAsia="en-US" w:bidi="en-US"/>
              </w:rPr>
              <w:t>2</w:t>
            </w:r>
          </w:p>
        </w:tc>
      </w:tr>
      <w:tr>
        <w:tblPrEx>
          <w:tblCellMar>
            <w:top w:w="0" w:type="dxa"/>
            <w:left w:w="10" w:type="dxa"/>
            <w:bottom w:w="0" w:type="dxa"/>
            <w:right w:w="10" w:type="dxa"/>
          </w:tblCellMar>
        </w:tblPrEx>
        <w:trPr>
          <w:trHeight w:val="370" w:hRule="exact"/>
          <w:jc w:val="center"/>
        </w:trPr>
        <w:tc>
          <w:tcPr>
            <w:vMerge w:val="continue"/>
            <w:tcBorders>
              <w:left w:val="single" w:color="auto" w:sz="4" w:space="0"/>
              <w:bottom w:val="single" w:color="auto" w:sz="4" w:space="0"/>
            </w:tcBorders>
            <w:shd w:val="clear" w:color="auto" w:fill="auto"/>
            <w:vAlign w:val="center"/>
          </w:tcPr>
          <w:p>
            <w:pP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p>
        </w:tc>
        <w:tc>
          <w:tcPr>
            <w:tcW w:w="2885" w:type="dxa"/>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180"/>
              <w:jc w:val="left"/>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t>非牧区省，其他草地盐碱地</w:t>
            </w:r>
          </w:p>
        </w:tc>
        <w:tc>
          <w:tcPr>
            <w:tcW w:w="34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1个/16</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km</w:t>
            </w:r>
            <w:r>
              <w:rPr>
                <w:rFonts w:hint="eastAsia" w:asciiTheme="minorEastAsia" w:hAnsiTheme="minorEastAsia" w:eastAsiaTheme="minorEastAsia" w:cstheme="minorEastAsia"/>
                <w:b w:val="0"/>
                <w:bCs w:val="0"/>
                <w:color w:val="000000"/>
                <w:spacing w:val="0"/>
                <w:w w:val="100"/>
                <w:position w:val="0"/>
                <w:sz w:val="18"/>
                <w:szCs w:val="18"/>
                <w:shd w:val="clear" w:color="auto" w:fill="auto"/>
                <w:vertAlign w:val="superscript"/>
                <w:lang w:val="en-US" w:eastAsia="en-US" w:bidi="en-US"/>
              </w:rPr>
              <w:t>2</w:t>
            </w:r>
          </w:p>
        </w:tc>
      </w:tr>
    </w:tbl>
    <w:p>
      <w:pPr>
        <w:widowControl w:val="0"/>
        <w:spacing w:after="299" w:line="1" w:lineRule="exact"/>
      </w:pPr>
    </w:p>
    <w:p>
      <w:pPr>
        <w:widowControl w:val="0"/>
        <w:spacing w:line="1" w:lineRule="exact"/>
      </w:pPr>
    </w:p>
    <w:p>
      <w:pPr>
        <w:pStyle w:val="23"/>
        <w:keepNext w:val="0"/>
        <w:keepLines w:val="0"/>
        <w:widowControl w:val="0"/>
        <w:shd w:val="clear" w:color="auto" w:fill="auto"/>
        <w:bidi w:val="0"/>
        <w:spacing w:before="0" w:after="0" w:line="240" w:lineRule="auto"/>
        <w:ind w:left="3091" w:right="0" w:firstLine="0"/>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pacing w:val="0"/>
          <w:w w:val="100"/>
          <w:position w:val="0"/>
          <w:sz w:val="21"/>
          <w:szCs w:val="21"/>
          <w:shd w:val="clear" w:color="auto" w:fill="auto"/>
        </w:rPr>
        <w:t>表3地理标志农产品区规划布样密度</w:t>
      </w:r>
    </w:p>
    <w:tbl>
      <w:tblPr>
        <w:tblStyle w:val="4"/>
        <w:tblW w:w="0" w:type="auto"/>
        <w:jc w:val="center"/>
        <w:tblLayout w:type="fixed"/>
        <w:tblCellMar>
          <w:top w:w="0" w:type="dxa"/>
          <w:left w:w="10" w:type="dxa"/>
          <w:bottom w:w="0" w:type="dxa"/>
          <w:right w:w="10" w:type="dxa"/>
        </w:tblCellMar>
      </w:tblPr>
      <w:tblGrid>
        <w:gridCol w:w="2894"/>
        <w:gridCol w:w="2885"/>
        <w:gridCol w:w="3456"/>
      </w:tblGrid>
      <w:tr>
        <w:tblPrEx>
          <w:tblCellMar>
            <w:top w:w="0" w:type="dxa"/>
            <w:left w:w="10" w:type="dxa"/>
            <w:bottom w:w="0" w:type="dxa"/>
            <w:right w:w="10" w:type="dxa"/>
          </w:tblCellMar>
        </w:tblPrEx>
        <w:trPr>
          <w:trHeight w:val="365"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土地利用类型</w:t>
            </w:r>
          </w:p>
        </w:tc>
        <w:tc>
          <w:tcPr>
            <w:tcW w:w="2885" w:type="dxa"/>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地形地貌</w:t>
            </w:r>
          </w:p>
        </w:tc>
        <w:tc>
          <w:tcPr>
            <w:tcW w:w="3456" w:type="dxa"/>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布样密度</w:t>
            </w:r>
          </w:p>
        </w:tc>
      </w:tr>
      <w:tr>
        <w:tblPrEx>
          <w:tblCellMar>
            <w:top w:w="0" w:type="dxa"/>
            <w:left w:w="10" w:type="dxa"/>
            <w:bottom w:w="0" w:type="dxa"/>
            <w:right w:w="10" w:type="dxa"/>
          </w:tblCellMar>
        </w:tblPrEx>
        <w:trPr>
          <w:trHeight w:val="283" w:hRule="exact"/>
          <w:jc w:val="center"/>
        </w:trPr>
        <w:tc>
          <w:tcPr>
            <w:vMerge w:val="restart"/>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val="0"/>
                <w:bCs w:val="0"/>
                <w:color w:val="000000"/>
                <w:spacing w:val="0"/>
                <w:w w:val="100"/>
                <w:position w:val="0"/>
                <w:sz w:val="18"/>
                <w:szCs w:val="18"/>
                <w:shd w:val="clear" w:color="auto" w:fill="auto"/>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耕园地</w:t>
            </w:r>
          </w:p>
        </w:tc>
        <w:tc>
          <w:tcPr>
            <w:tcW w:w="2885" w:type="dxa"/>
            <w:tcBorders>
              <w:top w:val="single" w:color="auto" w:sz="4" w:space="0"/>
              <w:left w:val="single" w:color="auto" w:sz="4" w:space="0"/>
            </w:tcBorders>
            <w:shd w:val="clear" w:color="auto" w:fill="auto"/>
            <w:vAlign w:val="bottom"/>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val="0"/>
                <w:bCs w:val="0"/>
                <w:color w:val="000000"/>
                <w:spacing w:val="0"/>
                <w:w w:val="100"/>
                <w:position w:val="0"/>
                <w:sz w:val="18"/>
                <w:szCs w:val="18"/>
                <w:shd w:val="clear" w:color="auto" w:fill="auto"/>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平地</w:t>
            </w:r>
          </w:p>
        </w:tc>
        <w:tc>
          <w:tcPr>
            <w:tcW w:w="3456" w:type="dxa"/>
            <w:tcBorders>
              <w:top w:val="single" w:color="auto" w:sz="4" w:space="0"/>
              <w:left w:val="single" w:color="auto" w:sz="4" w:space="0"/>
              <w:right w:val="single" w:color="auto" w:sz="4" w:space="0"/>
            </w:tcBorders>
            <w:shd w:val="clear" w:color="auto" w:fill="auto"/>
            <w:vAlign w:val="bottom"/>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1个/0.5</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km</w:t>
            </w:r>
            <w:r>
              <w:rPr>
                <w:rFonts w:hint="eastAsia" w:asciiTheme="minorEastAsia" w:hAnsiTheme="minorEastAsia" w:eastAsiaTheme="minorEastAsia" w:cstheme="minorEastAsia"/>
                <w:b w:val="0"/>
                <w:bCs w:val="0"/>
                <w:color w:val="000000"/>
                <w:spacing w:val="0"/>
                <w:w w:val="100"/>
                <w:position w:val="0"/>
                <w:sz w:val="18"/>
                <w:szCs w:val="18"/>
                <w:shd w:val="clear" w:color="auto" w:fill="auto"/>
                <w:vertAlign w:val="superscript"/>
                <w:lang w:val="en-US" w:eastAsia="en-US" w:bidi="en-US"/>
              </w:rPr>
              <w:t>2</w:t>
            </w:r>
          </w:p>
        </w:tc>
      </w:tr>
      <w:tr>
        <w:tblPrEx>
          <w:tblCellMar>
            <w:top w:w="0" w:type="dxa"/>
            <w:left w:w="10" w:type="dxa"/>
            <w:bottom w:w="0" w:type="dxa"/>
            <w:right w:w="10" w:type="dxa"/>
          </w:tblCellMar>
        </w:tblPrEx>
        <w:trPr>
          <w:trHeight w:val="283" w:hRule="exact"/>
          <w:jc w:val="center"/>
        </w:trPr>
        <w:tc>
          <w:tcPr>
            <w:vMerge w:val="continue"/>
            <w:tcBorders>
              <w:left w:val="single" w:color="auto" w:sz="4" w:space="0"/>
            </w:tcBorders>
            <w:shd w:val="clear" w:color="auto" w:fill="auto"/>
            <w:vAlign w:val="center"/>
          </w:tcPr>
          <w:p>
            <w:pP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p>
        </w:tc>
        <w:tc>
          <w:tcPr>
            <w:tcW w:w="2885" w:type="dxa"/>
            <w:tcBorders>
              <w:top w:val="single" w:color="auto" w:sz="4" w:space="0"/>
              <w:left w:val="single" w:color="auto" w:sz="4" w:space="0"/>
            </w:tcBorders>
            <w:shd w:val="clear" w:color="auto" w:fill="auto"/>
            <w:vAlign w:val="bottom"/>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t>丘陵山地</w:t>
            </w:r>
          </w:p>
        </w:tc>
        <w:tc>
          <w:tcPr>
            <w:tcW w:w="3456" w:type="dxa"/>
            <w:tcBorders>
              <w:top w:val="single" w:color="auto" w:sz="4" w:space="0"/>
              <w:left w:val="single" w:color="auto" w:sz="4" w:space="0"/>
              <w:right w:val="single" w:color="auto" w:sz="4" w:space="0"/>
            </w:tcBorders>
            <w:shd w:val="clear" w:color="auto" w:fill="auto"/>
            <w:vAlign w:val="bottom"/>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1个</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/O.</w:t>
            </w:r>
            <w:r>
              <w:rPr>
                <w:rFonts w:hint="eastAsia" w:asciiTheme="minorEastAsia" w:hAnsiTheme="minorEastAsia" w:eastAsiaTheme="minorEastAsia" w:cstheme="minorEastAsia"/>
                <w:b w:val="0"/>
                <w:bCs w:val="0"/>
                <w:color w:val="000000"/>
                <w:spacing w:val="0"/>
                <w:w w:val="100"/>
                <w:position w:val="0"/>
                <w:sz w:val="18"/>
                <w:szCs w:val="18"/>
                <w:shd w:val="clear" w:color="auto" w:fill="auto"/>
              </w:rPr>
              <w:t>25</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km</w:t>
            </w:r>
            <w:r>
              <w:rPr>
                <w:rFonts w:hint="eastAsia" w:asciiTheme="minorEastAsia" w:hAnsiTheme="minorEastAsia" w:eastAsiaTheme="minorEastAsia" w:cstheme="minorEastAsia"/>
                <w:b w:val="0"/>
                <w:bCs w:val="0"/>
                <w:color w:val="000000"/>
                <w:spacing w:val="0"/>
                <w:w w:val="100"/>
                <w:position w:val="0"/>
                <w:sz w:val="18"/>
                <w:szCs w:val="18"/>
                <w:shd w:val="clear" w:color="auto" w:fill="auto"/>
                <w:vertAlign w:val="superscript"/>
                <w:lang w:val="en-US" w:eastAsia="en-US" w:bidi="en-US"/>
              </w:rPr>
              <w:t>2</w:t>
            </w:r>
          </w:p>
        </w:tc>
      </w:tr>
      <w:tr>
        <w:tblPrEx>
          <w:tblCellMar>
            <w:top w:w="0" w:type="dxa"/>
            <w:left w:w="10" w:type="dxa"/>
            <w:bottom w:w="0" w:type="dxa"/>
            <w:right w:w="10" w:type="dxa"/>
          </w:tblCellMar>
        </w:tblPrEx>
        <w:trPr>
          <w:trHeight w:val="293" w:hRule="exact"/>
          <w:jc w:val="center"/>
        </w:trPr>
        <w:tc>
          <w:tcPr>
            <w:tcBorders>
              <w:top w:val="single" w:color="auto" w:sz="4" w:space="0"/>
              <w:left w:val="single" w:color="auto" w:sz="4" w:space="0"/>
              <w:bottom w:val="single" w:color="auto" w:sz="4" w:space="0"/>
            </w:tcBorders>
            <w:shd w:val="clear" w:color="auto" w:fill="auto"/>
            <w:vAlign w:val="top"/>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t>林草地</w:t>
            </w:r>
          </w:p>
        </w:tc>
        <w:tc>
          <w:tcPr>
            <w:tcW w:w="2885" w:type="dxa"/>
            <w:tcBorders>
              <w:top w:val="single" w:color="auto" w:sz="4" w:space="0"/>
              <w:left w:val="single" w:color="auto" w:sz="4" w:space="0"/>
              <w:bottom w:val="single" w:color="auto" w:sz="4" w:space="0"/>
            </w:tcBorders>
            <w:shd w:val="clear" w:color="auto" w:fill="auto"/>
            <w:vAlign w:val="top"/>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pPr>
            <w:r>
              <w:rPr>
                <w:rFonts w:hint="eastAsia" w:asciiTheme="minorEastAsia" w:hAnsiTheme="minorEastAsia" w:eastAsiaTheme="minorEastAsia" w:cstheme="minorEastAsia"/>
                <w:b w:val="0"/>
                <w:bCs w:val="0"/>
                <w:color w:val="000000"/>
                <w:spacing w:val="0"/>
                <w:w w:val="100"/>
                <w:position w:val="0"/>
                <w:sz w:val="18"/>
                <w:szCs w:val="18"/>
                <w:u w:val="none"/>
                <w:shd w:val="clear" w:color="auto" w:fill="auto"/>
                <w:lang w:val="zh-CN" w:eastAsia="zh-CN" w:bidi="zh-CN"/>
              </w:rPr>
              <w:t>—</w:t>
            </w:r>
          </w:p>
        </w:tc>
        <w:tc>
          <w:tcPr>
            <w:tcW w:w="3456" w:type="dxa"/>
            <w:tcBorders>
              <w:top w:val="single" w:color="auto" w:sz="4" w:space="0"/>
              <w:left w:val="single" w:color="auto" w:sz="4" w:space="0"/>
              <w:bottom w:val="single" w:color="auto" w:sz="4" w:space="0"/>
              <w:right w:val="single" w:color="auto" w:sz="4" w:space="0"/>
            </w:tcBorders>
            <w:shd w:val="clear" w:color="auto" w:fill="auto"/>
            <w:vAlign w:val="top"/>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color w:val="000000"/>
                <w:spacing w:val="0"/>
                <w:w w:val="100"/>
                <w:position w:val="0"/>
                <w:sz w:val="18"/>
                <w:szCs w:val="18"/>
                <w:shd w:val="clear" w:color="auto" w:fill="auto"/>
              </w:rPr>
              <w:t>1个/4</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km</w:t>
            </w:r>
            <w:r>
              <w:rPr>
                <w:rFonts w:hint="eastAsia" w:asciiTheme="minorEastAsia" w:hAnsiTheme="minorEastAsia" w:eastAsiaTheme="minorEastAsia" w:cstheme="minorEastAsia"/>
                <w:b w:val="0"/>
                <w:bCs w:val="0"/>
                <w:color w:val="000000"/>
                <w:spacing w:val="0"/>
                <w:w w:val="100"/>
                <w:position w:val="0"/>
                <w:sz w:val="18"/>
                <w:szCs w:val="18"/>
                <w:shd w:val="clear" w:color="auto" w:fill="auto"/>
                <w:vertAlign w:val="superscript"/>
                <w:lang w:val="en-US" w:eastAsia="en-US" w:bidi="en-US"/>
              </w:rPr>
              <w:t>2</w:t>
            </w:r>
            <w:r>
              <w:rPr>
                <w:rFonts w:hint="eastAsia" w:asciiTheme="minorEastAsia" w:hAnsiTheme="minorEastAsia" w:eastAsiaTheme="minorEastAsia" w:cstheme="minorEastAsia"/>
                <w:b w:val="0"/>
                <w:bCs w:val="0"/>
                <w:color w:val="000000"/>
                <w:spacing w:val="0"/>
                <w:w w:val="100"/>
                <w:position w:val="0"/>
                <w:sz w:val="18"/>
                <w:szCs w:val="18"/>
                <w:shd w:val="clear" w:color="auto" w:fill="auto"/>
              </w:rPr>
              <w:t>〜</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zh-CN"/>
              </w:rPr>
              <w:t>1</w:t>
            </w:r>
            <w:r>
              <w:rPr>
                <w:rFonts w:hint="eastAsia" w:asciiTheme="minorEastAsia" w:hAnsiTheme="minorEastAsia" w:eastAsiaTheme="minorEastAsia" w:cstheme="minorEastAsia"/>
                <w:b w:val="0"/>
                <w:bCs w:val="0"/>
                <w:color w:val="000000"/>
                <w:spacing w:val="0"/>
                <w:w w:val="100"/>
                <w:position w:val="0"/>
                <w:sz w:val="18"/>
                <w:szCs w:val="18"/>
                <w:shd w:val="clear" w:color="auto" w:fill="auto"/>
              </w:rPr>
              <w:t>个/16</w:t>
            </w:r>
            <w:r>
              <w:rPr>
                <w:rFonts w:hint="eastAsia" w:asciiTheme="minorEastAsia" w:hAnsiTheme="minorEastAsia" w:eastAsiaTheme="minorEastAsia" w:cstheme="minorEastAsia"/>
                <w:b w:val="0"/>
                <w:bCs w:val="0"/>
                <w:color w:val="000000"/>
                <w:spacing w:val="0"/>
                <w:w w:val="100"/>
                <w:position w:val="0"/>
                <w:sz w:val="18"/>
                <w:szCs w:val="18"/>
                <w:shd w:val="clear" w:color="auto" w:fill="auto"/>
                <w:lang w:val="en-US" w:eastAsia="en-US" w:bidi="en-US"/>
              </w:rPr>
              <w:t>km</w:t>
            </w:r>
            <w:r>
              <w:rPr>
                <w:rFonts w:hint="eastAsia" w:asciiTheme="minorEastAsia" w:hAnsiTheme="minorEastAsia" w:eastAsiaTheme="minorEastAsia" w:cstheme="minorEastAsia"/>
                <w:b w:val="0"/>
                <w:bCs w:val="0"/>
                <w:color w:val="000000"/>
                <w:spacing w:val="0"/>
                <w:w w:val="100"/>
                <w:position w:val="0"/>
                <w:sz w:val="18"/>
                <w:szCs w:val="18"/>
                <w:shd w:val="clear" w:color="auto" w:fill="auto"/>
                <w:vertAlign w:val="superscript"/>
                <w:lang w:val="en-US" w:eastAsia="en-US" w:bidi="en-US"/>
              </w:rPr>
              <w:t>2</w:t>
            </w:r>
          </w:p>
        </w:tc>
      </w:tr>
    </w:tbl>
    <w:p>
      <w:pPr>
        <w:widowControl w:val="0"/>
        <w:spacing w:after="299" w:line="1" w:lineRule="exact"/>
      </w:pPr>
    </w:p>
    <w:p>
      <w:pPr>
        <w:pStyle w:val="9"/>
        <w:keepNext w:val="0"/>
        <w:keepLines w:val="0"/>
        <w:widowControl w:val="0"/>
        <w:shd w:val="clear" w:color="auto" w:fill="auto"/>
        <w:bidi w:val="0"/>
        <w:spacing w:before="0" w:after="0" w:line="321" w:lineRule="exact"/>
        <w:ind w:left="0" w:right="0" w:firstLine="0"/>
        <w:jc w:val="left"/>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4.2.4.</w:t>
      </w:r>
      <w:r>
        <w:rPr>
          <w:rFonts w:hint="eastAsia" w:asciiTheme="majorEastAsia" w:hAnsiTheme="majorEastAsia" w:eastAsiaTheme="majorEastAsia" w:cstheme="majorEastAsia"/>
          <w:b/>
          <w:bCs/>
          <w:color w:val="000000"/>
          <w:spacing w:val="0"/>
          <w:w w:val="100"/>
          <w:position w:val="0"/>
          <w:sz w:val="24"/>
          <w:szCs w:val="24"/>
          <w:shd w:val="clear" w:color="auto" w:fill="auto"/>
        </w:rPr>
        <w:t>3</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入</w:t>
      </w:r>
      <w:r>
        <w:rPr>
          <w:rFonts w:hint="eastAsia" w:asciiTheme="majorEastAsia" w:hAnsiTheme="majorEastAsia" w:eastAsiaTheme="majorEastAsia" w:cstheme="majorEastAsia"/>
          <w:b/>
          <w:bCs/>
          <w:color w:val="000000"/>
          <w:spacing w:val="0"/>
          <w:w w:val="100"/>
          <w:position w:val="0"/>
          <w:sz w:val="24"/>
          <w:szCs w:val="24"/>
          <w:shd w:val="clear" w:color="auto" w:fill="auto"/>
        </w:rPr>
        <w:t>样图斑选取与样点数量确定</w:t>
      </w:r>
    </w:p>
    <w:p>
      <w:pPr>
        <w:pStyle w:val="9"/>
        <w:keepNext w:val="0"/>
        <w:keepLines w:val="0"/>
        <w:widowControl w:val="0"/>
        <w:shd w:val="clear" w:color="auto" w:fill="auto"/>
        <w:bidi w:val="0"/>
        <w:spacing w:before="0" w:after="0" w:line="321" w:lineRule="exact"/>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（1）全县范围内遍历土种土地利用类型的入样图斑选取与样点数确定。</w:t>
      </w:r>
    </w:p>
    <w:p>
      <w:pPr>
        <w:pStyle w:val="9"/>
        <w:keepNext w:val="0"/>
        <w:keepLines w:val="0"/>
        <w:widowControl w:val="0"/>
        <w:shd w:val="clear" w:color="auto" w:fill="auto"/>
        <w:bidi w:val="0"/>
        <w:spacing w:before="0" w:after="200" w:line="321"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统计普查县各图层叠加图斑内每种土地利用类型与土壤类型的组合中面积最大的图斑作为入样图斑，确保普查县每种土种（或土属）类型至少能布设1个采样点及对应的</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入</w:t>
      </w:r>
      <w:r>
        <w:rPr>
          <w:rFonts w:hint="eastAsia" w:asciiTheme="minorEastAsia" w:hAnsiTheme="minorEastAsia" w:eastAsiaTheme="minorEastAsia" w:cstheme="minorEastAsia"/>
          <w:color w:val="000000"/>
          <w:spacing w:val="0"/>
          <w:w w:val="100"/>
          <w:position w:val="0"/>
          <w:sz w:val="24"/>
          <w:szCs w:val="24"/>
          <w:shd w:val="clear" w:color="auto" w:fill="auto"/>
        </w:rPr>
        <w:t>样图斑。对选出的</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图斑按面积按由大到小排序，将面积小于</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5hm</w:t>
      </w:r>
      <w:r>
        <w:rPr>
          <w:rFonts w:hint="eastAsia" w:asciiTheme="minorEastAsia" w:hAnsiTheme="minorEastAsia" w:eastAsiaTheme="minorEastAsia" w:cstheme="minorEastAsia"/>
          <w:color w:val="000000"/>
          <w:spacing w:val="0"/>
          <w:w w:val="100"/>
          <w:position w:val="0"/>
          <w:sz w:val="24"/>
          <w:szCs w:val="24"/>
          <w:shd w:val="clear" w:color="auto" w:fill="auto"/>
          <w:vertAlign w:val="superscript"/>
          <w:lang w:val="en-US" w:eastAsia="en-US" w:bidi="en-US"/>
        </w:rPr>
        <w:t>2</w:t>
      </w:r>
      <w:r>
        <w:rPr>
          <w:rFonts w:hint="eastAsia" w:asciiTheme="minorEastAsia" w:hAnsiTheme="minorEastAsia" w:eastAsiaTheme="minorEastAsia" w:cstheme="minorEastAsia"/>
          <w:color w:val="000000"/>
          <w:spacing w:val="0"/>
          <w:w w:val="100"/>
          <w:position w:val="0"/>
          <w:sz w:val="24"/>
          <w:szCs w:val="24"/>
          <w:shd w:val="clear" w:color="auto" w:fill="auto"/>
        </w:rPr>
        <w:t>（1:5万土壤图最小上图面积）的</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入</w:t>
      </w:r>
      <w:r>
        <w:rPr>
          <w:rFonts w:hint="eastAsia" w:asciiTheme="minorEastAsia" w:hAnsiTheme="minorEastAsia" w:eastAsiaTheme="minorEastAsia" w:cstheme="minorEastAsia"/>
          <w:color w:val="000000"/>
          <w:spacing w:val="0"/>
          <w:w w:val="100"/>
          <w:position w:val="0"/>
          <w:sz w:val="24"/>
          <w:szCs w:val="24"/>
          <w:shd w:val="clear" w:color="auto" w:fill="auto"/>
        </w:rPr>
        <w:t>样图斑剔除（南方丘陵山地较多普查县最小上图面积</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2hm</w:t>
      </w:r>
      <w:r>
        <w:rPr>
          <w:rFonts w:hint="eastAsia" w:asciiTheme="minorEastAsia" w:hAnsiTheme="minorEastAsia" w:eastAsiaTheme="minorEastAsia" w:cstheme="minorEastAsia"/>
          <w:color w:val="000000"/>
          <w:spacing w:val="0"/>
          <w:w w:val="100"/>
          <w:position w:val="0"/>
          <w:sz w:val="24"/>
          <w:szCs w:val="24"/>
          <w:shd w:val="clear" w:color="auto" w:fill="auto"/>
          <w:vertAlign w:val="superscript"/>
          <w:lang w:val="en-US" w:eastAsia="en-US" w:bidi="en-US"/>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w:t>
      </w:r>
      <w:r>
        <w:rPr>
          <w:rFonts w:hint="eastAsia" w:asciiTheme="minorEastAsia" w:hAnsiTheme="minorEastAsia" w:eastAsiaTheme="minorEastAsia" w:cstheme="minorEastAsia"/>
          <w:color w:val="000000"/>
          <w:spacing w:val="0"/>
          <w:w w:val="100"/>
          <w:position w:val="0"/>
          <w:sz w:val="24"/>
          <w:szCs w:val="24"/>
          <w:shd w:val="clear" w:color="auto" w:fill="auto"/>
        </w:rPr>
        <w:t>。当</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图斑面积大于5</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hm</w:t>
      </w:r>
      <w:r>
        <w:rPr>
          <w:rFonts w:hint="eastAsia" w:asciiTheme="minorEastAsia" w:hAnsiTheme="minorEastAsia" w:eastAsiaTheme="minorEastAsia" w:cstheme="minorEastAsia"/>
          <w:color w:val="000000"/>
          <w:spacing w:val="0"/>
          <w:w w:val="100"/>
          <w:position w:val="0"/>
          <w:sz w:val="24"/>
          <w:szCs w:val="24"/>
          <w:shd w:val="clear" w:color="auto" w:fill="auto"/>
          <w:vertAlign w:val="superscript"/>
          <w:lang w:val="en-US" w:eastAsia="en-US" w:bidi="en-US"/>
        </w:rPr>
        <w:t>2</w:t>
      </w:r>
      <w:r>
        <w:rPr>
          <w:rFonts w:hint="eastAsia" w:asciiTheme="minorEastAsia" w:hAnsiTheme="minorEastAsia" w:eastAsiaTheme="minorEastAsia" w:cstheme="minorEastAsia"/>
          <w:color w:val="000000"/>
          <w:spacing w:val="0"/>
          <w:w w:val="100"/>
          <w:position w:val="0"/>
          <w:sz w:val="24"/>
          <w:szCs w:val="24"/>
          <w:shd w:val="clear" w:color="auto" w:fill="auto"/>
        </w:rPr>
        <w:t>而小于等于</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1km</w:t>
      </w:r>
      <w:r>
        <w:rPr>
          <w:rFonts w:hint="eastAsia" w:asciiTheme="minorEastAsia" w:hAnsiTheme="minorEastAsia" w:eastAsiaTheme="minorEastAsia" w:cstheme="minorEastAsia"/>
          <w:color w:val="000000"/>
          <w:spacing w:val="0"/>
          <w:w w:val="100"/>
          <w:position w:val="0"/>
          <w:sz w:val="24"/>
          <w:szCs w:val="24"/>
          <w:shd w:val="clear" w:color="auto" w:fill="auto"/>
          <w:vertAlign w:val="superscript"/>
          <w:lang w:val="en-US" w:eastAsia="en-US" w:bidi="en-US"/>
        </w:rPr>
        <w:t>2</w:t>
      </w:r>
      <w:r>
        <w:rPr>
          <w:rFonts w:hint="eastAsia" w:asciiTheme="minorEastAsia" w:hAnsiTheme="minorEastAsia" w:eastAsiaTheme="minorEastAsia" w:cstheme="minorEastAsia"/>
          <w:color w:val="000000"/>
          <w:spacing w:val="0"/>
          <w:w w:val="100"/>
          <w:position w:val="0"/>
          <w:sz w:val="24"/>
          <w:szCs w:val="24"/>
          <w:shd w:val="clear" w:color="auto" w:fill="auto"/>
        </w:rPr>
        <w:t>（耕园地平原）或</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16km</w:t>
      </w:r>
      <w:r>
        <w:rPr>
          <w:rFonts w:hint="eastAsia" w:asciiTheme="minorEastAsia" w:hAnsiTheme="minorEastAsia" w:eastAsiaTheme="minorEastAsia" w:cstheme="minorEastAsia"/>
          <w:color w:val="000000"/>
          <w:spacing w:val="0"/>
          <w:w w:val="100"/>
          <w:position w:val="0"/>
          <w:sz w:val="24"/>
          <w:szCs w:val="24"/>
          <w:shd w:val="clear" w:color="auto" w:fill="auto"/>
          <w:vertAlign w:val="superscript"/>
          <w:lang w:val="en-US" w:eastAsia="en-US" w:bidi="en-US"/>
        </w:rPr>
        <w:t>2</w:t>
      </w:r>
      <w:r>
        <w:rPr>
          <w:rFonts w:hint="eastAsia" w:asciiTheme="minorEastAsia" w:hAnsiTheme="minorEastAsia" w:eastAsiaTheme="minorEastAsia" w:cstheme="minorEastAsia"/>
          <w:color w:val="000000"/>
          <w:spacing w:val="0"/>
          <w:w w:val="100"/>
          <w:position w:val="0"/>
          <w:sz w:val="24"/>
          <w:szCs w:val="24"/>
          <w:shd w:val="clear" w:color="auto" w:fill="auto"/>
        </w:rPr>
        <w:t>（非牧区省林草盐碱地）时，每个图斑内布设1个采样点；当耕园地平地型</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图斑面积大于1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km</w:t>
      </w:r>
      <w:r>
        <w:rPr>
          <w:rFonts w:hint="eastAsia" w:asciiTheme="minorEastAsia" w:hAnsiTheme="minorEastAsia" w:eastAsiaTheme="minorEastAsia" w:cstheme="minorEastAsia"/>
          <w:color w:val="000000"/>
          <w:spacing w:val="0"/>
          <w:w w:val="100"/>
          <w:position w:val="0"/>
          <w:sz w:val="24"/>
          <w:szCs w:val="24"/>
          <w:shd w:val="clear" w:color="auto" w:fill="auto"/>
          <w:vertAlign w:val="superscript"/>
          <w:lang w:val="en-US" w:eastAsia="en-US" w:bidi="en-US"/>
        </w:rPr>
        <w:t>2</w:t>
      </w:r>
      <w:r>
        <w:rPr>
          <w:rFonts w:hint="eastAsia" w:asciiTheme="minorEastAsia" w:hAnsiTheme="minorEastAsia" w:eastAsiaTheme="minorEastAsia" w:cstheme="minorEastAsia"/>
          <w:color w:val="000000"/>
          <w:spacing w:val="0"/>
          <w:w w:val="100"/>
          <w:position w:val="0"/>
          <w:sz w:val="24"/>
          <w:szCs w:val="24"/>
          <w:shd w:val="clear" w:color="auto" w:fill="auto"/>
        </w:rPr>
        <w:t>而小于2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km</w:t>
      </w:r>
      <w:r>
        <w:rPr>
          <w:rFonts w:hint="eastAsia" w:asciiTheme="minorEastAsia" w:hAnsiTheme="minorEastAsia" w:eastAsiaTheme="minorEastAsia" w:cstheme="minorEastAsia"/>
          <w:color w:val="000000"/>
          <w:spacing w:val="0"/>
          <w:w w:val="100"/>
          <w:position w:val="0"/>
          <w:sz w:val="24"/>
          <w:szCs w:val="24"/>
          <w:shd w:val="clear" w:color="auto" w:fill="auto"/>
          <w:vertAlign w:val="superscript"/>
          <w:lang w:val="en-US" w:eastAsia="en-US" w:bidi="en-US"/>
        </w:rPr>
        <w:t>2</w:t>
      </w:r>
      <w:r>
        <w:rPr>
          <w:rFonts w:hint="eastAsia" w:asciiTheme="minorEastAsia" w:hAnsiTheme="minorEastAsia" w:eastAsiaTheme="minorEastAsia" w:cstheme="minorEastAsia"/>
          <w:color w:val="000000"/>
          <w:spacing w:val="0"/>
          <w:w w:val="100"/>
          <w:position w:val="0"/>
          <w:sz w:val="24"/>
          <w:szCs w:val="24"/>
          <w:shd w:val="clear" w:color="auto" w:fill="auto"/>
        </w:rPr>
        <w:t>时按2个样点布设，林草盐碱地</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图斑面积大于16</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km</w:t>
      </w:r>
      <w:r>
        <w:rPr>
          <w:rFonts w:hint="eastAsia" w:asciiTheme="minorEastAsia" w:hAnsiTheme="minorEastAsia" w:eastAsiaTheme="minorEastAsia" w:cstheme="minorEastAsia"/>
          <w:color w:val="000000"/>
          <w:spacing w:val="0"/>
          <w:w w:val="100"/>
          <w:position w:val="0"/>
          <w:sz w:val="24"/>
          <w:szCs w:val="24"/>
          <w:shd w:val="clear" w:color="auto" w:fill="auto"/>
          <w:vertAlign w:val="superscript"/>
          <w:lang w:val="en-US" w:eastAsia="en-US" w:bidi="en-US"/>
        </w:rPr>
        <w:t>2</w:t>
      </w:r>
      <w:r>
        <w:rPr>
          <w:rFonts w:hint="eastAsia" w:asciiTheme="minorEastAsia" w:hAnsiTheme="minorEastAsia" w:eastAsiaTheme="minorEastAsia" w:cstheme="minorEastAsia"/>
          <w:color w:val="000000"/>
          <w:spacing w:val="0"/>
          <w:w w:val="100"/>
          <w:position w:val="0"/>
          <w:sz w:val="24"/>
          <w:szCs w:val="24"/>
          <w:shd w:val="clear" w:color="auto" w:fill="auto"/>
        </w:rPr>
        <w:t>而小于32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km</w:t>
      </w:r>
      <w:r>
        <w:rPr>
          <w:rFonts w:hint="eastAsia" w:asciiTheme="minorEastAsia" w:hAnsiTheme="minorEastAsia" w:eastAsiaTheme="minorEastAsia" w:cstheme="minorEastAsia"/>
          <w:color w:val="000000"/>
          <w:spacing w:val="0"/>
          <w:w w:val="100"/>
          <w:position w:val="0"/>
          <w:sz w:val="24"/>
          <w:szCs w:val="24"/>
          <w:shd w:val="clear" w:color="auto" w:fill="auto"/>
          <w:vertAlign w:val="superscript"/>
          <w:lang w:val="en-US" w:eastAsia="en-US" w:bidi="en-US"/>
        </w:rPr>
        <w:t>2</w:t>
      </w:r>
      <w:r>
        <w:rPr>
          <w:rFonts w:hint="eastAsia" w:asciiTheme="minorEastAsia" w:hAnsiTheme="minorEastAsia" w:eastAsiaTheme="minorEastAsia" w:cstheme="minorEastAsia"/>
          <w:color w:val="000000"/>
          <w:spacing w:val="0"/>
          <w:w w:val="100"/>
          <w:position w:val="0"/>
          <w:sz w:val="24"/>
          <w:szCs w:val="24"/>
          <w:shd w:val="clear" w:color="auto" w:fill="auto"/>
        </w:rPr>
        <w:t>时按2个样点布设，以此类推，其他类型图斑同理。详见表4至表8。</w:t>
      </w:r>
    </w:p>
    <w:p>
      <w:pPr>
        <w:pStyle w:val="23"/>
        <w:keepNext w:val="0"/>
        <w:keepLines w:val="0"/>
        <w:widowControl w:val="0"/>
        <w:shd w:val="clear" w:color="auto" w:fill="auto"/>
        <w:bidi w:val="0"/>
        <w:spacing w:before="0" w:after="0" w:line="240" w:lineRule="auto"/>
        <w:ind w:left="0" w:right="0" w:firstLine="0"/>
        <w:jc w:val="center"/>
      </w:pPr>
      <w:r>
        <w:rPr>
          <w:rFonts w:hint="eastAsia" w:asciiTheme="majorEastAsia" w:hAnsiTheme="majorEastAsia" w:eastAsiaTheme="majorEastAsia" w:cstheme="majorEastAsia"/>
          <w:b/>
          <w:bCs/>
          <w:color w:val="000000"/>
          <w:spacing w:val="0"/>
          <w:w w:val="100"/>
          <w:position w:val="0"/>
          <w:sz w:val="21"/>
          <w:szCs w:val="21"/>
          <w:shd w:val="clear" w:color="auto" w:fill="auto"/>
        </w:rPr>
        <w:t>表4</w:t>
      </w:r>
      <w:r>
        <w:rPr>
          <w:rFonts w:hint="eastAsia" w:asciiTheme="majorEastAsia" w:hAnsiTheme="majorEastAsia" w:eastAsiaTheme="majorEastAsia" w:cstheme="majorEastAsia"/>
          <w:b/>
          <w:bCs/>
          <w:color w:val="000000"/>
          <w:spacing w:val="0"/>
          <w:w w:val="100"/>
          <w:position w:val="0"/>
          <w:sz w:val="21"/>
          <w:szCs w:val="21"/>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1"/>
          <w:szCs w:val="21"/>
          <w:shd w:val="clear" w:color="auto" w:fill="auto"/>
        </w:rPr>
        <w:t>耕园地平地入样图斑内采样点数量布设标准</w:t>
      </w:r>
    </w:p>
    <w:tbl>
      <w:tblPr>
        <w:tblStyle w:val="4"/>
        <w:tblW w:w="0" w:type="auto"/>
        <w:jc w:val="center"/>
        <w:tblLayout w:type="fixed"/>
        <w:tblCellMar>
          <w:top w:w="0" w:type="dxa"/>
          <w:left w:w="10" w:type="dxa"/>
          <w:bottom w:w="0" w:type="dxa"/>
          <w:right w:w="10" w:type="dxa"/>
        </w:tblCellMar>
      </w:tblPr>
      <w:tblGrid>
        <w:gridCol w:w="1810"/>
        <w:gridCol w:w="4"/>
        <w:gridCol w:w="5228"/>
        <w:gridCol w:w="4"/>
        <w:gridCol w:w="2190"/>
        <w:gridCol w:w="8"/>
      </w:tblGrid>
      <w:tr>
        <w:tblPrEx>
          <w:tblCellMar>
            <w:top w:w="0" w:type="dxa"/>
            <w:left w:w="10" w:type="dxa"/>
            <w:bottom w:w="0" w:type="dxa"/>
            <w:right w:w="10" w:type="dxa"/>
          </w:tblCellMar>
        </w:tblPrEx>
        <w:trPr>
          <w:trHeight w:val="365" w:hRule="exact"/>
          <w:jc w:val="center"/>
        </w:trPr>
        <w:tc>
          <w:tcPr>
            <w:gridSpan w:val="2"/>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类别</w:t>
            </w:r>
          </w:p>
        </w:tc>
        <w:tc>
          <w:tcPr>
            <w:gridSpan w:val="2"/>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分类标准</w:t>
            </w:r>
          </w:p>
        </w:tc>
        <w:tc>
          <w:tcPr>
            <w:gridSpan w:val="2"/>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采样点数量</w:t>
            </w:r>
          </w:p>
        </w:tc>
      </w:tr>
      <w:tr>
        <w:tblPrEx>
          <w:tblCellMar>
            <w:top w:w="0" w:type="dxa"/>
            <w:left w:w="10" w:type="dxa"/>
            <w:bottom w:w="0" w:type="dxa"/>
            <w:right w:w="10" w:type="dxa"/>
          </w:tblCellMar>
        </w:tblPrEx>
        <w:trPr>
          <w:trHeight w:val="384" w:hRule="exact"/>
          <w:jc w:val="center"/>
        </w:trPr>
        <w:tc>
          <w:tcPr>
            <w:gridSpan w:val="2"/>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w:t>
            </w:r>
          </w:p>
        </w:tc>
        <w:tc>
          <w:tcPr>
            <w:gridSpan w:val="2"/>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rPr>
              <w:t>5</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hm²</w:t>
            </w:r>
            <w:r>
              <w:rPr>
                <w:rFonts w:hint="eastAsia" w:asciiTheme="minorEastAsia" w:hAnsiTheme="minorEastAsia" w:eastAsiaTheme="minorEastAsia" w:cstheme="minorEastAsia"/>
                <w:color w:val="000000"/>
                <w:spacing w:val="0"/>
                <w:w w:val="100"/>
                <w:position w:val="0"/>
                <w:sz w:val="18"/>
                <w:szCs w:val="18"/>
                <w:shd w:val="clear" w:color="auto" w:fill="auto"/>
              </w:rPr>
              <w:t>＜入样图斑面积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en-US" w:bidi="en-US"/>
              </w:rPr>
              <w:t>1km</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bidi="en-US"/>
              </w:rPr>
              <w:t>²</w:t>
            </w:r>
          </w:p>
        </w:tc>
        <w:tc>
          <w:tcPr>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w:t>
            </w:r>
          </w:p>
        </w:tc>
      </w:tr>
      <w:tr>
        <w:tblPrEx>
          <w:tblCellMar>
            <w:top w:w="0" w:type="dxa"/>
            <w:left w:w="10" w:type="dxa"/>
            <w:bottom w:w="0" w:type="dxa"/>
            <w:right w:w="10" w:type="dxa"/>
          </w:tblCellMar>
        </w:tblPrEx>
        <w:trPr>
          <w:gridAfter w:val="1"/>
          <w:wAfter w:w="8" w:type="dxa"/>
          <w:trHeight w:val="374"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2</w:t>
            </w:r>
          </w:p>
        </w:tc>
        <w:tc>
          <w:tcPr>
            <w:gridSpan w:val="2"/>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rPr>
              <w:t>1</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km²</w:t>
            </w:r>
            <w:r>
              <w:rPr>
                <w:rFonts w:hint="eastAsia" w:asciiTheme="minorEastAsia" w:hAnsiTheme="minorEastAsia" w:eastAsiaTheme="minorEastAsia" w:cstheme="minorEastAsia"/>
                <w:color w:val="000000"/>
                <w:spacing w:val="0"/>
                <w:w w:val="100"/>
                <w:position w:val="0"/>
                <w:sz w:val="18"/>
                <w:szCs w:val="18"/>
                <w:shd w:val="clear" w:color="auto" w:fill="auto"/>
              </w:rPr>
              <w:t>＜入样图斑面积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en-US" w:bidi="en-US"/>
              </w:rPr>
              <w:t>2km</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bidi="en-US"/>
              </w:rPr>
              <w:t>²</w:t>
            </w:r>
          </w:p>
        </w:tc>
        <w:tc>
          <w:tcPr>
            <w:gridSpan w:val="2"/>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2</w:t>
            </w:r>
          </w:p>
        </w:tc>
      </w:tr>
      <w:tr>
        <w:tblPrEx>
          <w:tblCellMar>
            <w:top w:w="0" w:type="dxa"/>
            <w:left w:w="10" w:type="dxa"/>
            <w:bottom w:w="0" w:type="dxa"/>
            <w:right w:w="10" w:type="dxa"/>
          </w:tblCellMar>
        </w:tblPrEx>
        <w:trPr>
          <w:gridAfter w:val="1"/>
          <w:wAfter w:w="8" w:type="dxa"/>
          <w:trHeight w:val="379"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3</w:t>
            </w:r>
          </w:p>
        </w:tc>
        <w:tc>
          <w:tcPr>
            <w:gridSpan w:val="2"/>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rPr>
              <w:t>2</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km²</w:t>
            </w:r>
            <w:r>
              <w:rPr>
                <w:rFonts w:hint="eastAsia" w:asciiTheme="minorEastAsia" w:hAnsiTheme="minorEastAsia" w:eastAsiaTheme="minorEastAsia" w:cstheme="minorEastAsia"/>
                <w:color w:val="000000"/>
                <w:spacing w:val="0"/>
                <w:w w:val="100"/>
                <w:position w:val="0"/>
                <w:sz w:val="18"/>
                <w:szCs w:val="18"/>
                <w:shd w:val="clear" w:color="auto" w:fill="auto"/>
              </w:rPr>
              <w:t>＜入样图斑面积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en-US" w:bidi="en-US"/>
              </w:rPr>
              <w:t>3km</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bidi="en-US"/>
              </w:rPr>
              <w:t>²</w:t>
            </w:r>
          </w:p>
        </w:tc>
        <w:tc>
          <w:tcPr>
            <w:gridSpan w:val="2"/>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3</w:t>
            </w:r>
          </w:p>
        </w:tc>
      </w:tr>
      <w:tr>
        <w:tblPrEx>
          <w:tblCellMar>
            <w:top w:w="0" w:type="dxa"/>
            <w:left w:w="10" w:type="dxa"/>
            <w:bottom w:w="0" w:type="dxa"/>
            <w:right w:w="10" w:type="dxa"/>
          </w:tblCellMar>
        </w:tblPrEx>
        <w:trPr>
          <w:gridAfter w:val="1"/>
          <w:wAfter w:w="8" w:type="dxa"/>
          <w:trHeight w:val="374"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4</w:t>
            </w:r>
          </w:p>
        </w:tc>
        <w:tc>
          <w:tcPr>
            <w:gridSpan w:val="2"/>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3km²</w:t>
            </w:r>
            <w:r>
              <w:rPr>
                <w:rFonts w:hint="eastAsia" w:asciiTheme="minorEastAsia" w:hAnsiTheme="minorEastAsia" w:eastAsiaTheme="minorEastAsia" w:cstheme="minorEastAsia"/>
                <w:color w:val="000000"/>
                <w:spacing w:val="0"/>
                <w:w w:val="100"/>
                <w:position w:val="0"/>
                <w:sz w:val="18"/>
                <w:szCs w:val="18"/>
                <w:shd w:val="clear" w:color="auto" w:fill="auto"/>
              </w:rPr>
              <w:t>＜入样图斑面积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en-US" w:bidi="en-US"/>
              </w:rPr>
              <w:t>4km</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bidi="en-US"/>
              </w:rPr>
              <w:t>²</w:t>
            </w:r>
          </w:p>
        </w:tc>
        <w:tc>
          <w:tcPr>
            <w:gridSpan w:val="2"/>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4</w:t>
            </w:r>
          </w:p>
        </w:tc>
      </w:tr>
      <w:tr>
        <w:tblPrEx>
          <w:tblCellMar>
            <w:top w:w="0" w:type="dxa"/>
            <w:left w:w="10" w:type="dxa"/>
            <w:bottom w:w="0" w:type="dxa"/>
            <w:right w:w="10" w:type="dxa"/>
          </w:tblCellMar>
        </w:tblPrEx>
        <w:trPr>
          <w:gridAfter w:val="1"/>
          <w:wAfter w:w="8" w:type="dxa"/>
          <w:trHeight w:val="389" w:hRule="exact"/>
          <w:jc w:val="center"/>
        </w:trPr>
        <w:tc>
          <w:tcPr>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5</w:t>
            </w:r>
          </w:p>
        </w:tc>
        <w:tc>
          <w:tcPr>
            <w:gridSpan w:val="2"/>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4km²</w:t>
            </w:r>
            <w:r>
              <w:rPr>
                <w:rFonts w:hint="eastAsia" w:asciiTheme="minorEastAsia" w:hAnsiTheme="minorEastAsia" w:eastAsiaTheme="minorEastAsia" w:cstheme="minorEastAsia"/>
                <w:color w:val="000000"/>
                <w:spacing w:val="0"/>
                <w:w w:val="100"/>
                <w:position w:val="0"/>
                <w:sz w:val="18"/>
                <w:szCs w:val="18"/>
                <w:shd w:val="clear" w:color="auto" w:fill="auto"/>
              </w:rPr>
              <w:t>＜入样图斑面积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≤5km²</w:t>
            </w:r>
          </w:p>
        </w:tc>
        <w:tc>
          <w:tcPr>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5</w:t>
            </w:r>
          </w:p>
        </w:tc>
      </w:tr>
    </w:tbl>
    <w:p>
      <w:pPr>
        <w:widowControl w:val="0"/>
        <w:spacing w:after="359" w:line="1" w:lineRule="exact"/>
      </w:pPr>
    </w:p>
    <w:p>
      <w:pPr>
        <w:widowControl w:val="0"/>
        <w:spacing w:line="1" w:lineRule="exact"/>
      </w:pPr>
    </w:p>
    <w:p>
      <w:pPr>
        <w:pStyle w:val="23"/>
        <w:keepNext w:val="0"/>
        <w:keepLines w:val="0"/>
        <w:widowControl w:val="0"/>
        <w:shd w:val="clear" w:color="auto" w:fill="auto"/>
        <w:bidi w:val="0"/>
        <w:spacing w:before="0" w:after="0" w:line="240" w:lineRule="auto"/>
        <w:ind w:left="2462" w:right="0" w:firstLine="0"/>
        <w:jc w:val="left"/>
      </w:pPr>
      <w:r>
        <w:rPr>
          <w:rFonts w:hint="eastAsia" w:asciiTheme="majorEastAsia" w:hAnsiTheme="majorEastAsia" w:eastAsiaTheme="majorEastAsia" w:cstheme="majorEastAsia"/>
          <w:color w:val="000000"/>
          <w:spacing w:val="0"/>
          <w:w w:val="100"/>
          <w:position w:val="0"/>
          <w:sz w:val="21"/>
          <w:szCs w:val="21"/>
          <w:shd w:val="clear" w:color="auto" w:fill="auto"/>
        </w:rPr>
        <w:t>表5耕园地丘陵山地入样图斑内采样点数量布设标准</w:t>
      </w:r>
    </w:p>
    <w:tbl>
      <w:tblPr>
        <w:tblStyle w:val="4"/>
        <w:tblW w:w="0" w:type="auto"/>
        <w:jc w:val="center"/>
        <w:tblLayout w:type="fixed"/>
        <w:tblCellMar>
          <w:top w:w="0" w:type="dxa"/>
          <w:left w:w="10" w:type="dxa"/>
          <w:bottom w:w="0" w:type="dxa"/>
          <w:right w:w="10" w:type="dxa"/>
        </w:tblCellMar>
      </w:tblPr>
      <w:tblGrid>
        <w:gridCol w:w="1814"/>
        <w:gridCol w:w="5232"/>
        <w:gridCol w:w="2194"/>
      </w:tblGrid>
      <w:tr>
        <w:tblPrEx>
          <w:tblCellMar>
            <w:top w:w="0" w:type="dxa"/>
            <w:left w:w="10" w:type="dxa"/>
            <w:bottom w:w="0" w:type="dxa"/>
            <w:right w:w="10" w:type="dxa"/>
          </w:tblCellMar>
        </w:tblPrEx>
        <w:trPr>
          <w:trHeight w:val="363"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类别</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分类标准</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采样点数量</w:t>
            </w:r>
          </w:p>
        </w:tc>
      </w:tr>
      <w:tr>
        <w:tblPrEx>
          <w:tblCellMar>
            <w:top w:w="0" w:type="dxa"/>
            <w:left w:w="10" w:type="dxa"/>
            <w:bottom w:w="0" w:type="dxa"/>
            <w:right w:w="10" w:type="dxa"/>
          </w:tblCellMar>
        </w:tblPrEx>
        <w:trPr>
          <w:trHeight w:val="379"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default"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5hm²＜</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入样图斑面积≤0.5km²</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w:t>
            </w:r>
          </w:p>
        </w:tc>
      </w:tr>
      <w:tr>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2</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default"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0.5km²＜入样图斑面积≤1km²</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2</w:t>
            </w:r>
          </w:p>
        </w:tc>
      </w:tr>
      <w:tr>
        <w:tblPrEx>
          <w:tblCellMar>
            <w:top w:w="0" w:type="dxa"/>
            <w:left w:w="10" w:type="dxa"/>
            <w:bottom w:w="0" w:type="dxa"/>
            <w:right w:w="10" w:type="dxa"/>
          </w:tblCellMar>
        </w:tblPrEx>
        <w:trPr>
          <w:trHeight w:val="379"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3</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default"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1km²＜入样图斑面积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≤1.5km²</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3</w:t>
            </w:r>
          </w:p>
        </w:tc>
      </w:tr>
      <w:tr>
        <w:tblPrEx>
          <w:tblCellMar>
            <w:top w:w="0" w:type="dxa"/>
            <w:left w:w="10" w:type="dxa"/>
            <w:bottom w:w="0" w:type="dxa"/>
            <w:right w:w="10" w:type="dxa"/>
          </w:tblCellMar>
        </w:tblPrEx>
        <w:trPr>
          <w:trHeight w:val="374"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4</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default"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1.5km²＜入样图斑面积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≤2km²</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4</w:t>
            </w:r>
          </w:p>
        </w:tc>
      </w:tr>
      <w:tr>
        <w:tblPrEx>
          <w:tblCellMar>
            <w:top w:w="0" w:type="dxa"/>
            <w:left w:w="10" w:type="dxa"/>
            <w:bottom w:w="0" w:type="dxa"/>
            <w:right w:w="10" w:type="dxa"/>
          </w:tblCellMar>
        </w:tblPrEx>
        <w:trPr>
          <w:trHeight w:val="389" w:hRule="exact"/>
          <w:jc w:val="center"/>
        </w:trPr>
        <w:tc>
          <w:tcPr>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5</w:t>
            </w:r>
          </w:p>
        </w:tc>
        <w:tc>
          <w:tcPr>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default"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2km²＜入样图斑面积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≤2.5km²</w:t>
            </w: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5</w:t>
            </w:r>
          </w:p>
        </w:tc>
      </w:tr>
    </w:tbl>
    <w:p>
      <w:pPr>
        <w:widowControl w:val="0"/>
        <w:spacing w:after="359" w:line="1" w:lineRule="exact"/>
      </w:pPr>
    </w:p>
    <w:p>
      <w:pPr>
        <w:widowControl w:val="0"/>
        <w:spacing w:line="1" w:lineRule="exact"/>
      </w:pPr>
    </w:p>
    <w:p>
      <w:pPr>
        <w:pStyle w:val="23"/>
        <w:keepNext w:val="0"/>
        <w:keepLines w:val="0"/>
        <w:widowControl w:val="0"/>
        <w:shd w:val="clear" w:color="auto" w:fill="auto"/>
        <w:bidi w:val="0"/>
        <w:spacing w:before="0" w:after="0" w:line="240" w:lineRule="auto"/>
        <w:ind w:left="2275" w:right="0" w:firstLine="0"/>
        <w:jc w:val="left"/>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color w:val="000000"/>
          <w:spacing w:val="0"/>
          <w:w w:val="100"/>
          <w:position w:val="0"/>
          <w:sz w:val="21"/>
          <w:szCs w:val="21"/>
          <w:shd w:val="clear" w:color="auto" w:fill="auto"/>
        </w:rPr>
        <w:t>表6非牧区省林草盐碱地入样图斑内采样点数量布设标准</w:t>
      </w:r>
    </w:p>
    <w:tbl>
      <w:tblPr>
        <w:tblStyle w:val="4"/>
        <w:tblW w:w="0" w:type="auto"/>
        <w:jc w:val="center"/>
        <w:tblLayout w:type="fixed"/>
        <w:tblCellMar>
          <w:top w:w="0" w:type="dxa"/>
          <w:left w:w="10" w:type="dxa"/>
          <w:bottom w:w="0" w:type="dxa"/>
          <w:right w:w="10" w:type="dxa"/>
        </w:tblCellMar>
      </w:tblPr>
      <w:tblGrid>
        <w:gridCol w:w="1810"/>
        <w:gridCol w:w="5232"/>
        <w:gridCol w:w="2194"/>
      </w:tblGrid>
      <w:tr>
        <w:tblPrEx>
          <w:tblCellMar>
            <w:top w:w="0" w:type="dxa"/>
            <w:left w:w="10" w:type="dxa"/>
            <w:bottom w:w="0" w:type="dxa"/>
            <w:right w:w="10" w:type="dxa"/>
          </w:tblCellMar>
        </w:tblPrEx>
        <w:trPr>
          <w:trHeight w:val="403"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类别</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分类标准</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采样点数量</w:t>
            </w:r>
          </w:p>
        </w:tc>
      </w:tr>
      <w:tr>
        <w:tblPrEx>
          <w:tblCellMar>
            <w:top w:w="0" w:type="dxa"/>
            <w:left w:w="10" w:type="dxa"/>
            <w:bottom w:w="0" w:type="dxa"/>
            <w:right w:w="10" w:type="dxa"/>
          </w:tblCellMar>
        </w:tblPrEx>
        <w:trPr>
          <w:trHeight w:val="398"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5hm²＜</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≤16km²</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w:t>
            </w:r>
          </w:p>
        </w:tc>
      </w:tr>
      <w:tr>
        <w:tblPrEx>
          <w:tblCellMar>
            <w:top w:w="0" w:type="dxa"/>
            <w:left w:w="10" w:type="dxa"/>
            <w:bottom w:w="0" w:type="dxa"/>
            <w:right w:w="10" w:type="dxa"/>
          </w:tblCellMar>
        </w:tblPrEx>
        <w:trPr>
          <w:trHeight w:val="394"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2</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16km²＜入样图斑面积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≤32km²</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2</w:t>
            </w:r>
          </w:p>
        </w:tc>
      </w:tr>
      <w:tr>
        <w:tblPrEx>
          <w:tblCellMar>
            <w:top w:w="0" w:type="dxa"/>
            <w:left w:w="10" w:type="dxa"/>
            <w:bottom w:w="0" w:type="dxa"/>
            <w:right w:w="10" w:type="dxa"/>
          </w:tblCellMar>
        </w:tblPrEx>
        <w:trPr>
          <w:trHeight w:val="398"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3</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32km²＜入样图斑面积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≤48km²</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3</w:t>
            </w:r>
          </w:p>
        </w:tc>
      </w:tr>
      <w:tr>
        <w:tblPrEx>
          <w:tblCellMar>
            <w:top w:w="0" w:type="dxa"/>
            <w:left w:w="10" w:type="dxa"/>
            <w:bottom w:w="0" w:type="dxa"/>
            <w:right w:w="10" w:type="dxa"/>
          </w:tblCellMar>
        </w:tblPrEx>
        <w:trPr>
          <w:trHeight w:val="398"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4</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48km²＜入样图斑面积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≤64km²</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4</w:t>
            </w:r>
          </w:p>
        </w:tc>
      </w:tr>
      <w:tr>
        <w:tblPrEx>
          <w:tblCellMar>
            <w:top w:w="0" w:type="dxa"/>
            <w:left w:w="10" w:type="dxa"/>
            <w:bottom w:w="0" w:type="dxa"/>
            <w:right w:w="10" w:type="dxa"/>
          </w:tblCellMar>
        </w:tblPrEx>
        <w:trPr>
          <w:trHeight w:val="408" w:hRule="exact"/>
          <w:jc w:val="center"/>
        </w:trPr>
        <w:tc>
          <w:tcPr>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5</w:t>
            </w:r>
          </w:p>
        </w:tc>
        <w:tc>
          <w:tcPr>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64km²＜入样图斑面积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≤80km²</w:t>
            </w: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5</w:t>
            </w:r>
          </w:p>
        </w:tc>
      </w:tr>
    </w:tbl>
    <w:p>
      <w:pPr>
        <w:widowControl w:val="0"/>
        <w:spacing w:after="359" w:line="1" w:lineRule="exact"/>
      </w:pPr>
    </w:p>
    <w:p>
      <w:pPr>
        <w:widowControl w:val="0"/>
        <w:spacing w:line="1" w:lineRule="exact"/>
      </w:pPr>
    </w:p>
    <w:p>
      <w:pPr>
        <w:pStyle w:val="23"/>
        <w:keepNext w:val="0"/>
        <w:keepLines w:val="0"/>
        <w:widowControl w:val="0"/>
        <w:shd w:val="clear" w:color="auto" w:fill="auto"/>
        <w:bidi w:val="0"/>
        <w:spacing w:before="0" w:after="0" w:line="240" w:lineRule="auto"/>
        <w:ind w:left="1733" w:right="0" w:firstLine="0"/>
        <w:jc w:val="left"/>
      </w:pPr>
      <w:r>
        <w:rPr>
          <w:rFonts w:hint="eastAsia" w:asciiTheme="majorEastAsia" w:hAnsiTheme="majorEastAsia" w:eastAsiaTheme="majorEastAsia" w:cstheme="majorEastAsia"/>
          <w:color w:val="000000"/>
          <w:spacing w:val="0"/>
          <w:w w:val="100"/>
          <w:position w:val="0"/>
          <w:sz w:val="21"/>
          <w:szCs w:val="21"/>
          <w:shd w:val="clear" w:color="auto" w:fill="auto"/>
        </w:rPr>
        <w:t>表7牧区省与食物生产相关林草盐碱地入样图斑内采样点数量布设标准</w:t>
      </w:r>
    </w:p>
    <w:tbl>
      <w:tblPr>
        <w:tblStyle w:val="4"/>
        <w:tblW w:w="0" w:type="auto"/>
        <w:jc w:val="center"/>
        <w:tblLayout w:type="fixed"/>
        <w:tblCellMar>
          <w:top w:w="0" w:type="dxa"/>
          <w:left w:w="10" w:type="dxa"/>
          <w:bottom w:w="0" w:type="dxa"/>
          <w:right w:w="10" w:type="dxa"/>
        </w:tblCellMar>
      </w:tblPr>
      <w:tblGrid>
        <w:gridCol w:w="1810"/>
        <w:gridCol w:w="5232"/>
        <w:gridCol w:w="2194"/>
      </w:tblGrid>
      <w:tr>
        <w:tblPrEx>
          <w:tblCellMar>
            <w:top w:w="0" w:type="dxa"/>
            <w:left w:w="10" w:type="dxa"/>
            <w:bottom w:w="0" w:type="dxa"/>
            <w:right w:w="10" w:type="dxa"/>
          </w:tblCellMar>
        </w:tblPrEx>
        <w:trPr>
          <w:trHeight w:val="413"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类别</w:t>
            </w:r>
          </w:p>
        </w:tc>
        <w:tc>
          <w:tcPr>
            <w:tcW w:w="5232" w:type="dxa"/>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分类标准</w:t>
            </w:r>
          </w:p>
        </w:tc>
        <w:tc>
          <w:tcPr>
            <w:tcW w:w="2194" w:type="dxa"/>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采样点数量</w:t>
            </w:r>
          </w:p>
        </w:tc>
      </w:tr>
      <w:tr>
        <w:tblPrEx>
          <w:tblCellMar>
            <w:top w:w="0" w:type="dxa"/>
            <w:left w:w="10" w:type="dxa"/>
            <w:bottom w:w="0" w:type="dxa"/>
            <w:right w:w="10" w:type="dxa"/>
          </w:tblCellMar>
        </w:tblPrEx>
        <w:trPr>
          <w:trHeight w:val="403"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w:t>
            </w:r>
          </w:p>
        </w:tc>
        <w:tc>
          <w:tcPr>
            <w:tcW w:w="5232" w:type="dxa"/>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default"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5hm²＜入样图斑面积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≤16km²</w:t>
            </w:r>
          </w:p>
        </w:tc>
        <w:tc>
          <w:tcPr>
            <w:tcW w:w="2194" w:type="dxa"/>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w:t>
            </w:r>
          </w:p>
        </w:tc>
      </w:tr>
      <w:tr>
        <w:tblPrEx>
          <w:tblCellMar>
            <w:top w:w="0" w:type="dxa"/>
            <w:left w:w="10" w:type="dxa"/>
            <w:bottom w:w="0" w:type="dxa"/>
            <w:right w:w="10" w:type="dxa"/>
          </w:tblCellMar>
        </w:tblPrEx>
        <w:trPr>
          <w:trHeight w:val="408"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2</w:t>
            </w:r>
          </w:p>
        </w:tc>
        <w:tc>
          <w:tcPr>
            <w:tcW w:w="5232" w:type="dxa"/>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default"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16km²＜入样图斑面积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≤32km²</w:t>
            </w:r>
          </w:p>
        </w:tc>
        <w:tc>
          <w:tcPr>
            <w:tcW w:w="2194" w:type="dxa"/>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2</w:t>
            </w:r>
          </w:p>
        </w:tc>
      </w:tr>
      <w:tr>
        <w:tblPrEx>
          <w:tblCellMar>
            <w:top w:w="0" w:type="dxa"/>
            <w:left w:w="10" w:type="dxa"/>
            <w:bottom w:w="0" w:type="dxa"/>
            <w:right w:w="10" w:type="dxa"/>
          </w:tblCellMar>
        </w:tblPrEx>
        <w:trPr>
          <w:trHeight w:val="408"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3</w:t>
            </w:r>
          </w:p>
        </w:tc>
        <w:tc>
          <w:tcPr>
            <w:tcW w:w="5232" w:type="dxa"/>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default"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32km²＜入样图斑面积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≤48km²</w:t>
            </w:r>
          </w:p>
        </w:tc>
        <w:tc>
          <w:tcPr>
            <w:tcW w:w="2194" w:type="dxa"/>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3</w:t>
            </w:r>
          </w:p>
        </w:tc>
      </w:tr>
      <w:tr>
        <w:tblPrEx>
          <w:tblCellMar>
            <w:top w:w="0" w:type="dxa"/>
            <w:left w:w="10" w:type="dxa"/>
            <w:bottom w:w="0" w:type="dxa"/>
            <w:right w:w="10" w:type="dxa"/>
          </w:tblCellMar>
        </w:tblPrEx>
        <w:trPr>
          <w:trHeight w:val="403"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4</w:t>
            </w:r>
          </w:p>
        </w:tc>
        <w:tc>
          <w:tcPr>
            <w:tcW w:w="5232" w:type="dxa"/>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default"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48km²＜入样图斑面积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≤64km²</w:t>
            </w:r>
          </w:p>
        </w:tc>
        <w:tc>
          <w:tcPr>
            <w:tcW w:w="2194" w:type="dxa"/>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4</w:t>
            </w:r>
          </w:p>
        </w:tc>
      </w:tr>
      <w:tr>
        <w:tblPrEx>
          <w:tblCellMar>
            <w:top w:w="0" w:type="dxa"/>
            <w:left w:w="10" w:type="dxa"/>
            <w:bottom w:w="0" w:type="dxa"/>
            <w:right w:w="10" w:type="dxa"/>
          </w:tblCellMar>
        </w:tblPrEx>
        <w:trPr>
          <w:trHeight w:val="418" w:hRule="exact"/>
          <w:jc w:val="center"/>
        </w:trPr>
        <w:tc>
          <w:tcPr>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5</w:t>
            </w:r>
          </w:p>
        </w:tc>
        <w:tc>
          <w:tcPr>
            <w:tcW w:w="5232" w:type="dxa"/>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default"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64km²＜入样图斑面积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≤80km²</w:t>
            </w:r>
          </w:p>
        </w:tc>
        <w:tc>
          <w:tcPr>
            <w:tcW w:w="21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5</w:t>
            </w:r>
          </w:p>
        </w:tc>
      </w:tr>
    </w:tbl>
    <w:p>
      <w:pPr>
        <w:widowControl w:val="0"/>
        <w:spacing w:after="359" w:line="1" w:lineRule="exact"/>
        <w:rPr>
          <w:rFonts w:hint="eastAsia" w:asciiTheme="majorEastAsia" w:hAnsiTheme="majorEastAsia" w:eastAsiaTheme="majorEastAsia" w:cstheme="majorEastAsia"/>
          <w:sz w:val="21"/>
          <w:szCs w:val="21"/>
        </w:rPr>
      </w:pPr>
    </w:p>
    <w:p>
      <w:pPr>
        <w:widowControl w:val="0"/>
        <w:spacing w:line="1" w:lineRule="exact"/>
        <w:rPr>
          <w:rFonts w:hint="eastAsia" w:asciiTheme="majorEastAsia" w:hAnsiTheme="majorEastAsia" w:eastAsiaTheme="majorEastAsia" w:cstheme="majorEastAsia"/>
          <w:sz w:val="21"/>
          <w:szCs w:val="21"/>
        </w:rPr>
      </w:pPr>
    </w:p>
    <w:p>
      <w:pPr>
        <w:pStyle w:val="23"/>
        <w:keepNext w:val="0"/>
        <w:keepLines w:val="0"/>
        <w:widowControl w:val="0"/>
        <w:shd w:val="clear" w:color="auto" w:fill="auto"/>
        <w:bidi w:val="0"/>
        <w:spacing w:before="0" w:after="0" w:line="240" w:lineRule="auto"/>
        <w:ind w:left="1733" w:right="0" w:firstLine="0"/>
        <w:jc w:val="left"/>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color w:val="000000"/>
          <w:spacing w:val="0"/>
          <w:w w:val="100"/>
          <w:position w:val="0"/>
          <w:sz w:val="21"/>
          <w:szCs w:val="21"/>
          <w:shd w:val="clear" w:color="auto" w:fill="auto"/>
        </w:rPr>
        <w:t>表8牧区省与食物生产无关林草盐碱地入样图斑内采样点数量布设标准</w:t>
      </w:r>
    </w:p>
    <w:tbl>
      <w:tblPr>
        <w:tblStyle w:val="4"/>
        <w:tblW w:w="9319" w:type="dxa"/>
        <w:jc w:val="center"/>
        <w:tblLayout w:type="fixed"/>
        <w:tblCellMar>
          <w:top w:w="0" w:type="dxa"/>
          <w:left w:w="10" w:type="dxa"/>
          <w:bottom w:w="0" w:type="dxa"/>
          <w:right w:w="10" w:type="dxa"/>
        </w:tblCellMar>
      </w:tblPr>
      <w:tblGrid>
        <w:gridCol w:w="1826"/>
        <w:gridCol w:w="5280"/>
        <w:gridCol w:w="2213"/>
      </w:tblGrid>
      <w:tr>
        <w:tblPrEx>
          <w:tblCellMar>
            <w:top w:w="0" w:type="dxa"/>
            <w:left w:w="10" w:type="dxa"/>
            <w:bottom w:w="0" w:type="dxa"/>
            <w:right w:w="10" w:type="dxa"/>
          </w:tblCellMar>
        </w:tblPrEx>
        <w:trPr>
          <w:trHeight w:val="318"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类别</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分类标准</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采样点数量</w:t>
            </w:r>
          </w:p>
        </w:tc>
      </w:tr>
      <w:tr>
        <w:tblPrEx>
          <w:tblCellMar>
            <w:top w:w="0" w:type="dxa"/>
            <w:left w:w="10" w:type="dxa"/>
            <w:bottom w:w="0" w:type="dxa"/>
            <w:right w:w="10" w:type="dxa"/>
          </w:tblCellMar>
        </w:tblPrEx>
        <w:trPr>
          <w:trHeight w:val="335"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default"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5hm²＜</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≤36km²</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1</w:t>
            </w:r>
          </w:p>
        </w:tc>
      </w:tr>
      <w:tr>
        <w:tblPrEx>
          <w:tblCellMar>
            <w:top w:w="0" w:type="dxa"/>
            <w:left w:w="10" w:type="dxa"/>
            <w:bottom w:w="0" w:type="dxa"/>
            <w:right w:w="10" w:type="dxa"/>
          </w:tblCellMar>
        </w:tblPrEx>
        <w:trPr>
          <w:trHeight w:val="330" w:hRule="exact"/>
          <w:jc w:val="center"/>
        </w:trPr>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2</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default"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36km²＜入样图斑面积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≤72km²</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2</w:t>
            </w:r>
          </w:p>
        </w:tc>
      </w:tr>
      <w:tr>
        <w:tblPrEx>
          <w:tblCellMar>
            <w:top w:w="0" w:type="dxa"/>
            <w:left w:w="10" w:type="dxa"/>
            <w:bottom w:w="0" w:type="dxa"/>
            <w:right w:w="10" w:type="dxa"/>
          </w:tblCellMar>
        </w:tblPrEx>
        <w:trPr>
          <w:trHeight w:val="350" w:hRule="exact"/>
          <w:jc w:val="center"/>
        </w:trPr>
        <w:tc>
          <w:tcPr>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3</w:t>
            </w:r>
          </w:p>
        </w:tc>
        <w:tc>
          <w:tcPr>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default"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72km²＜入样图斑面积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≤108km²</w:t>
            </w: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3</w:t>
            </w:r>
          </w:p>
        </w:tc>
      </w:tr>
    </w:tbl>
    <w:p>
      <w:pPr>
        <w:widowControl w:val="0"/>
        <w:spacing w:line="1" w:lineRule="exact"/>
      </w:pPr>
    </w:p>
    <w:p>
      <w:pPr>
        <w:widowControl w:val="0"/>
        <w:spacing w:line="1" w:lineRule="exact"/>
      </w:pPr>
    </w:p>
    <w:p>
      <w:pPr>
        <w:widowControl w:val="0"/>
        <w:spacing w:line="1" w:lineRule="exact"/>
      </w:pPr>
    </w:p>
    <w:p>
      <w:pPr>
        <w:pStyle w:val="23"/>
        <w:keepNext w:val="0"/>
        <w:keepLines w:val="0"/>
        <w:widowControl w:val="0"/>
        <w:shd w:val="clear" w:color="auto" w:fill="auto"/>
        <w:bidi w:val="0"/>
        <w:spacing w:before="0" w:after="0" w:line="240" w:lineRule="auto"/>
        <w:ind w:left="0" w:right="0" w:firstLine="0"/>
        <w:jc w:val="right"/>
        <w:rPr>
          <w:rFonts w:ascii="Times New Roman" w:hAnsi="Times New Roman" w:eastAsia="Times New Roman" w:cs="Times New Roman"/>
          <w:b w:val="0"/>
          <w:bCs w:val="0"/>
          <w:color w:val="000000"/>
          <w:spacing w:val="0"/>
          <w:w w:val="100"/>
          <w:position w:val="0"/>
          <w:shd w:val="clear" w:color="auto" w:fill="auto"/>
        </w:rPr>
      </w:pPr>
    </w:p>
    <w:p>
      <w:pPr>
        <w:pStyle w:val="23"/>
        <w:keepNext w:val="0"/>
        <w:keepLines w:val="0"/>
        <w:widowControl w:val="0"/>
        <w:shd w:val="clear" w:color="auto" w:fill="auto"/>
        <w:bidi w:val="0"/>
        <w:spacing w:before="0" w:after="0" w:line="240" w:lineRule="auto"/>
        <w:ind w:left="0" w:right="0" w:firstLine="0"/>
        <w:jc w:val="right"/>
        <w:rPr>
          <w:rFonts w:ascii="Times New Roman" w:hAnsi="Times New Roman" w:eastAsia="Times New Roman" w:cs="Times New Roman"/>
          <w:b w:val="0"/>
          <w:bCs w:val="0"/>
          <w:color w:val="000000"/>
          <w:spacing w:val="0"/>
          <w:w w:val="100"/>
          <w:position w:val="0"/>
          <w:shd w:val="clear" w:color="auto" w:fill="auto"/>
        </w:rPr>
      </w:pPr>
    </w:p>
    <w:p>
      <w:pPr>
        <w:pStyle w:val="23"/>
        <w:keepNext w:val="0"/>
        <w:keepLines w:val="0"/>
        <w:widowControl w:val="0"/>
        <w:shd w:val="clear" w:color="auto" w:fill="auto"/>
        <w:bidi w:val="0"/>
        <w:spacing w:before="0" w:after="0" w:line="240" w:lineRule="auto"/>
        <w:ind w:left="0" w:right="0" w:firstLine="0"/>
        <w:jc w:val="right"/>
        <w:rPr>
          <w:rFonts w:ascii="Times New Roman" w:hAnsi="Times New Roman" w:eastAsia="Times New Roman" w:cs="Times New Roman"/>
          <w:b w:val="0"/>
          <w:bCs w:val="0"/>
          <w:color w:val="000000"/>
          <w:spacing w:val="0"/>
          <w:w w:val="100"/>
          <w:position w:val="0"/>
          <w:shd w:val="clear" w:color="auto" w:fill="auto"/>
        </w:rPr>
      </w:pPr>
    </w:p>
    <w:p>
      <w:pPr>
        <w:pStyle w:val="23"/>
        <w:keepNext w:val="0"/>
        <w:keepLines w:val="0"/>
        <w:widowControl w:val="0"/>
        <w:shd w:val="clear" w:color="auto" w:fill="auto"/>
        <w:bidi w:val="0"/>
        <w:spacing w:before="0" w:after="0" w:line="240" w:lineRule="auto"/>
        <w:ind w:left="0" w:right="0" w:firstLine="0"/>
        <w:jc w:val="right"/>
        <w:rPr>
          <w:rFonts w:ascii="Times New Roman" w:hAnsi="Times New Roman" w:eastAsia="Times New Roman" w:cs="Times New Roman"/>
          <w:b w:val="0"/>
          <w:bCs w:val="0"/>
          <w:color w:val="000000"/>
          <w:spacing w:val="0"/>
          <w:w w:val="100"/>
          <w:position w:val="0"/>
          <w:shd w:val="clear" w:color="auto" w:fill="auto"/>
        </w:rPr>
      </w:pPr>
    </w:p>
    <w:p>
      <w:pPr>
        <w:pStyle w:val="23"/>
        <w:keepNext w:val="0"/>
        <w:keepLines w:val="0"/>
        <w:widowControl w:val="0"/>
        <w:shd w:val="clear" w:color="auto" w:fill="auto"/>
        <w:bidi w:val="0"/>
        <w:spacing w:before="0" w:after="0" w:line="240" w:lineRule="auto"/>
        <w:ind w:left="0" w:right="0" w:firstLine="0"/>
        <w:jc w:val="right"/>
        <w:rPr>
          <w:rFonts w:ascii="Times New Roman" w:hAnsi="Times New Roman" w:eastAsia="Times New Roman" w:cs="Times New Roman"/>
          <w:b w:val="0"/>
          <w:bCs w:val="0"/>
          <w:color w:val="000000"/>
          <w:spacing w:val="0"/>
          <w:w w:val="100"/>
          <w:position w:val="0"/>
          <w:shd w:val="clear" w:color="auto" w:fill="auto"/>
        </w:rPr>
      </w:pPr>
    </w:p>
    <w:p>
      <w:pPr>
        <w:pStyle w:val="23"/>
        <w:keepNext w:val="0"/>
        <w:keepLines w:val="0"/>
        <w:widowControl w:val="0"/>
        <w:shd w:val="clear" w:color="auto" w:fill="auto"/>
        <w:bidi w:val="0"/>
        <w:spacing w:before="0" w:after="0" w:line="240" w:lineRule="auto"/>
        <w:ind w:left="0" w:right="0" w:firstLine="0"/>
        <w:jc w:val="right"/>
      </w:pPr>
      <w:r>
        <w:rPr>
          <w:rFonts w:ascii="Times New Roman" w:hAnsi="Times New Roman" w:eastAsia="Times New Roman" w:cs="Times New Roman"/>
          <w:b w:val="0"/>
          <w:bCs w:val="0"/>
          <w:color w:val="000000"/>
          <w:spacing w:val="0"/>
          <w:w w:val="100"/>
          <w:position w:val="0"/>
          <w:shd w:val="clear" w:color="auto" w:fill="auto"/>
        </w:rPr>
        <w:t>（</w:t>
      </w:r>
      <w:r>
        <w:rPr>
          <w:b w:val="0"/>
          <w:bCs w:val="0"/>
          <w:color w:val="000000"/>
          <w:spacing w:val="0"/>
          <w:w w:val="100"/>
          <w:position w:val="0"/>
          <w:shd w:val="clear" w:color="auto" w:fill="auto"/>
        </w:rPr>
        <w:t>续表</w:t>
      </w:r>
      <w:r>
        <w:rPr>
          <w:rFonts w:ascii="Times New Roman" w:hAnsi="Times New Roman" w:eastAsia="Times New Roman" w:cs="Times New Roman"/>
          <w:b w:val="0"/>
          <w:bCs w:val="0"/>
          <w:color w:val="000000"/>
          <w:spacing w:val="0"/>
          <w:w w:val="100"/>
          <w:position w:val="0"/>
          <w:shd w:val="clear" w:color="auto" w:fill="auto"/>
        </w:rPr>
        <w:t>）</w:t>
      </w:r>
    </w:p>
    <w:tbl>
      <w:tblPr>
        <w:tblStyle w:val="4"/>
        <w:tblW w:w="0" w:type="auto"/>
        <w:jc w:val="center"/>
        <w:tblLayout w:type="fixed"/>
        <w:tblCellMar>
          <w:top w:w="0" w:type="dxa"/>
          <w:left w:w="10" w:type="dxa"/>
          <w:bottom w:w="0" w:type="dxa"/>
          <w:right w:w="10" w:type="dxa"/>
        </w:tblCellMar>
      </w:tblPr>
      <w:tblGrid>
        <w:gridCol w:w="1810"/>
        <w:gridCol w:w="5232"/>
        <w:gridCol w:w="2194"/>
      </w:tblGrid>
      <w:tr>
        <w:tblPrEx>
          <w:tblCellMar>
            <w:top w:w="0" w:type="dxa"/>
            <w:left w:w="10" w:type="dxa"/>
            <w:bottom w:w="0" w:type="dxa"/>
            <w:right w:w="10" w:type="dxa"/>
          </w:tblCellMar>
        </w:tblPrEx>
        <w:trPr>
          <w:trHeight w:val="365" w:hRule="exact"/>
          <w:jc w:val="center"/>
        </w:trPr>
        <w:tc>
          <w:tcPr>
            <w:tcW w:w="1810" w:type="dxa"/>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类别</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分类标准</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采样点数量</w:t>
            </w:r>
          </w:p>
        </w:tc>
      </w:tr>
      <w:tr>
        <w:tblPrEx>
          <w:tblCellMar>
            <w:top w:w="0" w:type="dxa"/>
            <w:left w:w="10" w:type="dxa"/>
            <w:bottom w:w="0" w:type="dxa"/>
            <w:right w:w="10" w:type="dxa"/>
          </w:tblCellMar>
        </w:tblPrEx>
        <w:trPr>
          <w:trHeight w:val="374" w:hRule="exact"/>
          <w:jc w:val="center"/>
        </w:trPr>
        <w:tc>
          <w:tcPr>
            <w:tcW w:w="1810" w:type="dxa"/>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4</w:t>
            </w:r>
          </w:p>
        </w:tc>
        <w:tc>
          <w:tcPr>
            <w:tcBorders>
              <w:top w:val="single" w:color="auto" w:sz="4" w:space="0"/>
              <w:lef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default"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108km²＜</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≤144km²</w:t>
            </w:r>
          </w:p>
        </w:tc>
        <w:tc>
          <w:tcPr>
            <w:tcBorders>
              <w:top w:val="single" w:color="auto" w:sz="4" w:space="0"/>
              <w:left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4</w:t>
            </w:r>
          </w:p>
        </w:tc>
      </w:tr>
      <w:tr>
        <w:tblPrEx>
          <w:tblCellMar>
            <w:top w:w="0" w:type="dxa"/>
            <w:left w:w="10" w:type="dxa"/>
            <w:bottom w:w="0" w:type="dxa"/>
            <w:right w:w="10" w:type="dxa"/>
          </w:tblCellMar>
        </w:tblPrEx>
        <w:trPr>
          <w:trHeight w:val="389" w:hRule="exact"/>
          <w:jc w:val="center"/>
        </w:trPr>
        <w:tc>
          <w:tcPr>
            <w:tcW w:w="1810" w:type="dxa"/>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5</w:t>
            </w:r>
          </w:p>
        </w:tc>
        <w:tc>
          <w:tcPr>
            <w:tcBorders>
              <w:top w:val="single" w:color="auto" w:sz="4" w:space="0"/>
              <w:left w:val="single" w:color="auto" w:sz="4" w:space="0"/>
              <w:bottom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leftChars="0" w:right="0" w:firstLine="0" w:firstLineChars="0"/>
              <w:jc w:val="center"/>
              <w:rPr>
                <w:rFonts w:hint="default" w:asciiTheme="minorEastAsia" w:hAnsiTheme="minorEastAsia" w:eastAsiaTheme="minorEastAsia" w:cstheme="minorEastAsia"/>
                <w:color w:val="000000"/>
                <w:spacing w:val="0"/>
                <w:w w:val="100"/>
                <w:position w:val="0"/>
                <w:sz w:val="18"/>
                <w:szCs w:val="18"/>
                <w:shd w:val="clear" w:color="auto" w:fill="auto"/>
                <w:lang w:val="en-US" w:eastAsia="zh-CN"/>
              </w:rPr>
            </w:pP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144km²＜</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入样图斑面积</w:t>
            </w:r>
            <w:r>
              <w:rPr>
                <w:rFonts w:hint="eastAsia" w:asciiTheme="minorEastAsia" w:hAnsiTheme="minorEastAsia" w:eastAsiaTheme="minorEastAsia" w:cstheme="minorEastAsia"/>
                <w:color w:val="000000"/>
                <w:spacing w:val="0"/>
                <w:w w:val="100"/>
                <w:position w:val="0"/>
                <w:sz w:val="18"/>
                <w:szCs w:val="18"/>
                <w:shd w:val="clear" w:color="auto" w:fill="auto"/>
                <w:lang w:val="en-US" w:eastAsia="zh-CN"/>
              </w:rPr>
              <w:t>≤180km²</w:t>
            </w:r>
          </w:p>
        </w:tc>
        <w:tc>
          <w:tcPr>
            <w:tcBorders>
              <w:top w:val="single" w:color="auto" w:sz="4" w:space="0"/>
              <w:left w:val="single" w:color="auto" w:sz="4" w:space="0"/>
              <w:bottom w:val="single" w:color="auto" w:sz="4" w:space="0"/>
              <w:right w:val="single" w:color="auto" w:sz="4" w:space="0"/>
            </w:tcBorders>
            <w:shd w:val="clear" w:color="auto" w:fill="auto"/>
            <w:vAlign w:val="center"/>
          </w:tcPr>
          <w:p>
            <w:pPr>
              <w:pStyle w:val="25"/>
              <w:keepNext w:val="0"/>
              <w:keepLines w:val="0"/>
              <w:widowControl w:val="0"/>
              <w:shd w:val="clear" w:color="auto" w:fill="auto"/>
              <w:bidi w:val="0"/>
              <w:spacing w:before="0" w:after="0" w:line="240" w:lineRule="auto"/>
              <w:ind w:left="0" w:right="0" w:firstLine="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pacing w:val="0"/>
                <w:w w:val="100"/>
                <w:position w:val="0"/>
                <w:sz w:val="18"/>
                <w:szCs w:val="18"/>
                <w:shd w:val="clear" w:color="auto" w:fill="auto"/>
              </w:rPr>
              <w:t>5</w:t>
            </w:r>
          </w:p>
        </w:tc>
      </w:tr>
    </w:tbl>
    <w:p>
      <w:pPr>
        <w:widowControl w:val="0"/>
        <w:spacing w:after="259" w:line="1" w:lineRule="exact"/>
      </w:pPr>
    </w:p>
    <w:p>
      <w:pPr>
        <w:pStyle w:val="9"/>
        <w:keepNext w:val="0"/>
        <w:keepLines w:val="0"/>
        <w:widowControl w:val="0"/>
        <w:shd w:val="clear" w:color="auto" w:fill="auto"/>
        <w:bidi w:val="0"/>
        <w:spacing w:before="0" w:after="0" w:line="317"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（2）剩余图斑中</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图斑选取与样点数确定。</w:t>
      </w:r>
    </w:p>
    <w:p>
      <w:pPr>
        <w:pStyle w:val="9"/>
        <w:keepNext w:val="0"/>
        <w:keepLines w:val="0"/>
        <w:widowControl w:val="0"/>
        <w:shd w:val="clear" w:color="auto" w:fill="auto"/>
        <w:bidi w:val="0"/>
        <w:spacing w:before="0" w:after="0" w:line="317"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从普查县各类型叠加图斑中，排除上述面积较大的</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图斑即为剩余叠加图斑。剩余图斑内</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图斑选取与样点数量采用两种方法确定：一是面积排序法；二是网格法。</w:t>
      </w:r>
    </w:p>
    <w:p>
      <w:pPr>
        <w:pStyle w:val="9"/>
        <w:keepNext w:val="0"/>
        <w:keepLines w:val="0"/>
        <w:widowControl w:val="0"/>
        <w:shd w:val="clear" w:color="auto" w:fill="auto"/>
        <w:bidi w:val="0"/>
        <w:spacing w:before="0" w:after="0" w:line="317"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面积排序法具体步骤如下。首先，分别将各类型区剩余叠加图斑按面积由大到小排序；其次，统计面积大于</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1km</w:t>
      </w:r>
      <w:r>
        <w:rPr>
          <w:rFonts w:hint="eastAsia" w:asciiTheme="minorEastAsia" w:hAnsiTheme="minorEastAsia" w:eastAsiaTheme="minorEastAsia" w:cstheme="minorEastAsia"/>
          <w:color w:val="000000"/>
          <w:spacing w:val="0"/>
          <w:w w:val="100"/>
          <w:position w:val="0"/>
          <w:sz w:val="24"/>
          <w:szCs w:val="24"/>
          <w:shd w:val="clear" w:color="auto" w:fill="auto"/>
          <w:vertAlign w:val="superscript"/>
          <w:lang w:val="en-US" w:eastAsia="en-US" w:bidi="en-US"/>
        </w:rPr>
        <w:t>2</w:t>
      </w:r>
      <w:r>
        <w:rPr>
          <w:rFonts w:hint="eastAsia" w:asciiTheme="minorEastAsia" w:hAnsiTheme="minorEastAsia" w:eastAsiaTheme="minorEastAsia" w:cstheme="minorEastAsia"/>
          <w:color w:val="000000"/>
          <w:spacing w:val="0"/>
          <w:w w:val="100"/>
          <w:position w:val="0"/>
          <w:sz w:val="24"/>
          <w:szCs w:val="24"/>
          <w:shd w:val="clear" w:color="auto" w:fill="auto"/>
        </w:rPr>
        <w:t>（耕园地平地）或</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16km</w:t>
      </w:r>
      <w:r>
        <w:rPr>
          <w:rFonts w:hint="eastAsia" w:asciiTheme="minorEastAsia" w:hAnsiTheme="minorEastAsia" w:eastAsiaTheme="minorEastAsia" w:cstheme="minorEastAsia"/>
          <w:color w:val="000000"/>
          <w:spacing w:val="0"/>
          <w:w w:val="100"/>
          <w:position w:val="0"/>
          <w:sz w:val="24"/>
          <w:szCs w:val="24"/>
          <w:shd w:val="clear" w:color="auto" w:fill="auto"/>
          <w:vertAlign w:val="superscript"/>
          <w:lang w:val="en-US" w:eastAsia="en-US" w:bidi="en-US"/>
        </w:rPr>
        <w:t>2</w:t>
      </w:r>
      <w:r>
        <w:rPr>
          <w:rFonts w:hint="eastAsia" w:asciiTheme="minorEastAsia" w:hAnsiTheme="minorEastAsia" w:eastAsiaTheme="minorEastAsia" w:cstheme="minorEastAsia"/>
          <w:color w:val="000000"/>
          <w:spacing w:val="0"/>
          <w:w w:val="100"/>
          <w:position w:val="0"/>
          <w:sz w:val="24"/>
          <w:szCs w:val="24"/>
          <w:shd w:val="clear" w:color="auto" w:fill="auto"/>
        </w:rPr>
        <w:t>（非牧区省林草盐碱地）叠加图斑总面积，根据表4至表8中规定布样密度，确定这些面积大的叠加图斑（以下简称“大</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图斑”）内采样点数量，同时这些大</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图斑也被选为</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图斑；最后，确定剩余叠加图斑中面积小于等于1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km</w:t>
      </w:r>
      <w:r>
        <w:rPr>
          <w:rFonts w:hint="eastAsia" w:asciiTheme="minorEastAsia" w:hAnsiTheme="minorEastAsia" w:eastAsiaTheme="minorEastAsia" w:cstheme="minorEastAsia"/>
          <w:color w:val="000000"/>
          <w:spacing w:val="0"/>
          <w:w w:val="100"/>
          <w:position w:val="0"/>
          <w:sz w:val="24"/>
          <w:szCs w:val="24"/>
          <w:shd w:val="clear" w:color="auto" w:fill="auto"/>
          <w:vertAlign w:val="superscript"/>
          <w:lang w:val="en-US" w:eastAsia="en-US" w:bidi="en-US"/>
        </w:rPr>
        <w:t>2</w:t>
      </w:r>
      <w:r>
        <w:rPr>
          <w:rFonts w:hint="eastAsia" w:asciiTheme="minorEastAsia" w:hAnsiTheme="minorEastAsia" w:eastAsiaTheme="minorEastAsia" w:cstheme="minorEastAsia"/>
          <w:color w:val="000000"/>
          <w:spacing w:val="0"/>
          <w:w w:val="100"/>
          <w:position w:val="0"/>
          <w:sz w:val="24"/>
          <w:szCs w:val="24"/>
          <w:shd w:val="clear" w:color="auto" w:fill="auto"/>
        </w:rPr>
        <w:t>（耕园地平地）或16</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km</w:t>
      </w:r>
      <w:r>
        <w:rPr>
          <w:rFonts w:hint="eastAsia" w:asciiTheme="minorEastAsia" w:hAnsiTheme="minorEastAsia" w:eastAsiaTheme="minorEastAsia" w:cstheme="minorEastAsia"/>
          <w:color w:val="000000"/>
          <w:spacing w:val="0"/>
          <w:w w:val="100"/>
          <w:position w:val="0"/>
          <w:sz w:val="24"/>
          <w:szCs w:val="24"/>
          <w:shd w:val="clear" w:color="auto" w:fill="auto"/>
          <w:vertAlign w:val="superscript"/>
          <w:lang w:val="en-US" w:eastAsia="en-US" w:bidi="en-US"/>
        </w:rPr>
        <w:t>2</w:t>
      </w:r>
      <w:r>
        <w:rPr>
          <w:rFonts w:hint="eastAsia" w:asciiTheme="minorEastAsia" w:hAnsiTheme="minorEastAsia" w:eastAsiaTheme="minorEastAsia" w:cstheme="minorEastAsia"/>
          <w:color w:val="000000"/>
          <w:spacing w:val="0"/>
          <w:w w:val="100"/>
          <w:position w:val="0"/>
          <w:sz w:val="24"/>
          <w:szCs w:val="24"/>
          <w:shd w:val="clear" w:color="auto" w:fill="auto"/>
        </w:rPr>
        <w:t>（林草盐碱地）的所有图斑（以下简称“小</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图斑”）内的总样点数量。小</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图斑样点数量=普查县初步计算的采样点总量-各土种</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图斑样点数-剩余叠加图斑中大</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图斑样点数；选取小面积叠加图斑中的</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图斑，根据小</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图斑内的采样点数量，按照面积由大到小顺序选取</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图斑。其他类型区同理。</w:t>
      </w:r>
    </w:p>
    <w:p>
      <w:pPr>
        <w:pStyle w:val="9"/>
        <w:keepNext w:val="0"/>
        <w:keepLines w:val="0"/>
        <w:widowControl w:val="0"/>
        <w:shd w:val="clear" w:color="auto" w:fill="auto"/>
        <w:bidi w:val="0"/>
        <w:spacing w:before="0" w:after="0" w:line="317"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网格法具体步骤如下。将剩余图斑与</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8km</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8km</w:t>
      </w:r>
      <w:r>
        <w:rPr>
          <w:rFonts w:hint="eastAsia" w:asciiTheme="minorEastAsia" w:hAnsiTheme="minorEastAsia" w:eastAsiaTheme="minorEastAsia" w:cstheme="minorEastAsia"/>
          <w:color w:val="000000"/>
          <w:spacing w:val="0"/>
          <w:w w:val="100"/>
          <w:position w:val="0"/>
          <w:sz w:val="24"/>
          <w:szCs w:val="24"/>
          <w:shd w:val="clear" w:color="auto" w:fill="auto"/>
        </w:rPr>
        <w:t>（牧区省：西藏、新疆、内蒙古、甘肃、青海、四川）和</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6km</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6km</w:t>
      </w:r>
      <w:r>
        <w:rPr>
          <w:rFonts w:hint="eastAsia" w:asciiTheme="minorEastAsia" w:hAnsiTheme="minorEastAsia" w:eastAsiaTheme="minorEastAsia" w:cstheme="minorEastAsia"/>
          <w:color w:val="000000"/>
          <w:spacing w:val="0"/>
          <w:w w:val="100"/>
          <w:position w:val="0"/>
          <w:sz w:val="24"/>
          <w:szCs w:val="24"/>
          <w:shd w:val="clear" w:color="auto" w:fill="auto"/>
        </w:rPr>
        <w:t>（非牧区省）网格叠加，网格起始点相同；其次，选网格内面积最大图斑作为初始</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图斑；最后，根据表4至表8中布样密度，确定最终</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图斑内样点数量。</w:t>
      </w:r>
    </w:p>
    <w:p>
      <w:pPr>
        <w:pStyle w:val="9"/>
        <w:keepNext w:val="0"/>
        <w:keepLines w:val="0"/>
        <w:widowControl w:val="0"/>
        <w:shd w:val="clear" w:color="auto" w:fill="auto"/>
        <w:bidi w:val="0"/>
        <w:spacing w:before="0" w:after="0" w:line="317" w:lineRule="exact"/>
        <w:ind w:left="0" w:right="0" w:firstLine="440"/>
        <w:jc w:val="both"/>
      </w:pPr>
      <w:r>
        <w:rPr>
          <w:rFonts w:hint="eastAsia" w:asciiTheme="minorEastAsia" w:hAnsiTheme="minorEastAsia" w:eastAsiaTheme="minorEastAsia" w:cstheme="minorEastAsia"/>
          <w:color w:val="000000"/>
          <w:spacing w:val="0"/>
          <w:w w:val="100"/>
          <w:position w:val="0"/>
          <w:sz w:val="24"/>
          <w:szCs w:val="24"/>
          <w:shd w:val="clear" w:color="auto" w:fill="auto"/>
        </w:rPr>
        <w:t>将两种方法选取的面积小于</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5hm</w:t>
      </w:r>
      <w:r>
        <w:rPr>
          <w:rFonts w:hint="eastAsia" w:asciiTheme="minorEastAsia" w:hAnsiTheme="minorEastAsia" w:eastAsiaTheme="minorEastAsia" w:cstheme="minorEastAsia"/>
          <w:color w:val="000000"/>
          <w:spacing w:val="0"/>
          <w:w w:val="100"/>
          <w:position w:val="0"/>
          <w:sz w:val="24"/>
          <w:szCs w:val="24"/>
          <w:shd w:val="clear" w:color="auto" w:fill="auto"/>
          <w:vertAlign w:val="superscript"/>
          <w:lang w:val="en-US" w:eastAsia="en-US" w:bidi="en-US"/>
        </w:rPr>
        <w:t>2</w:t>
      </w:r>
      <w:r>
        <w:rPr>
          <w:rFonts w:hint="eastAsia" w:asciiTheme="minorEastAsia" w:hAnsiTheme="minorEastAsia" w:eastAsiaTheme="minorEastAsia" w:cstheme="minorEastAsia"/>
          <w:color w:val="000000"/>
          <w:spacing w:val="0"/>
          <w:w w:val="100"/>
          <w:position w:val="0"/>
          <w:sz w:val="24"/>
          <w:szCs w:val="24"/>
          <w:shd w:val="clear" w:color="auto" w:fill="auto"/>
        </w:rPr>
        <w:t>的</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图斑剔除。</w:t>
      </w:r>
    </w:p>
    <w:p>
      <w:pPr>
        <w:pStyle w:val="9"/>
        <w:keepNext w:val="0"/>
        <w:keepLines w:val="0"/>
        <w:widowControl w:val="0"/>
        <w:numPr>
          <w:ilvl w:val="0"/>
          <w:numId w:val="0"/>
        </w:numPr>
        <w:shd w:val="clear" w:color="auto" w:fill="auto"/>
        <w:tabs>
          <w:tab w:val="left" w:pos="334"/>
        </w:tabs>
        <w:bidi w:val="0"/>
        <w:spacing w:before="0" w:after="0" w:line="317" w:lineRule="exact"/>
        <w:ind w:leftChars="0" w:right="0" w:right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4.2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4.</w:t>
      </w:r>
      <w:r>
        <w:rPr>
          <w:rFonts w:hint="eastAsia" w:asciiTheme="majorEastAsia" w:hAnsiTheme="majorEastAsia" w:eastAsiaTheme="majorEastAsia" w:cstheme="majorEastAsia"/>
          <w:b/>
          <w:bCs/>
          <w:color w:val="000000"/>
          <w:spacing w:val="0"/>
          <w:w w:val="100"/>
          <w:position w:val="0"/>
          <w:sz w:val="24"/>
          <w:szCs w:val="24"/>
          <w:shd w:val="clear" w:color="auto" w:fill="auto"/>
        </w:rPr>
        <w:t>4样点位置确定</w:t>
      </w:r>
    </w:p>
    <w:p>
      <w:pPr>
        <w:pStyle w:val="9"/>
        <w:keepNext w:val="0"/>
        <w:keepLines w:val="0"/>
        <w:widowControl w:val="0"/>
        <w:shd w:val="clear" w:color="auto" w:fill="auto"/>
        <w:bidi w:val="0"/>
        <w:spacing w:before="0" w:after="0" w:line="317" w:lineRule="exact"/>
        <w:ind w:left="0" w:right="0" w:firstLine="440"/>
        <w:jc w:val="both"/>
        <w:rPr>
          <w:sz w:val="24"/>
          <w:szCs w:val="24"/>
        </w:rPr>
      </w:pPr>
      <w:r>
        <w:rPr>
          <w:color w:val="000000"/>
          <w:spacing w:val="0"/>
          <w:w w:val="100"/>
          <w:position w:val="0"/>
          <w:sz w:val="24"/>
          <w:szCs w:val="24"/>
          <w:shd w:val="clear" w:color="auto" w:fill="auto"/>
        </w:rPr>
        <w:t>首先，确定小</w:t>
      </w:r>
      <w:r>
        <w:rPr>
          <w:rFonts w:hint="eastAsia"/>
          <w:color w:val="000000"/>
          <w:spacing w:val="0"/>
          <w:w w:val="100"/>
          <w:position w:val="0"/>
          <w:sz w:val="24"/>
          <w:szCs w:val="24"/>
          <w:shd w:val="clear" w:color="auto" w:fill="auto"/>
          <w:lang w:eastAsia="zh-CN"/>
        </w:rPr>
        <w:t>入样</w:t>
      </w:r>
      <w:r>
        <w:rPr>
          <w:color w:val="000000"/>
          <w:spacing w:val="0"/>
          <w:w w:val="100"/>
          <w:position w:val="0"/>
          <w:sz w:val="24"/>
          <w:szCs w:val="24"/>
          <w:shd w:val="clear" w:color="auto" w:fill="auto"/>
        </w:rPr>
        <w:t>图斑内样点位置。小</w:t>
      </w:r>
      <w:r>
        <w:rPr>
          <w:rFonts w:hint="eastAsia"/>
          <w:color w:val="000000"/>
          <w:spacing w:val="0"/>
          <w:w w:val="100"/>
          <w:position w:val="0"/>
          <w:sz w:val="24"/>
          <w:szCs w:val="24"/>
          <w:shd w:val="clear" w:color="auto" w:fill="auto"/>
          <w:lang w:eastAsia="zh-CN"/>
        </w:rPr>
        <w:t>入样</w:t>
      </w:r>
      <w:r>
        <w:rPr>
          <w:color w:val="000000"/>
          <w:spacing w:val="0"/>
          <w:w w:val="100"/>
          <w:position w:val="0"/>
          <w:sz w:val="24"/>
          <w:szCs w:val="24"/>
          <w:shd w:val="clear" w:color="auto" w:fill="auto"/>
        </w:rPr>
        <w:t>图斑只布设1个采样点，故选取该图斑的质心点作为外业采样的初始样点位置。利用</w:t>
      </w:r>
      <w:r>
        <w:rPr>
          <w:color w:val="000000"/>
          <w:spacing w:val="0"/>
          <w:w w:val="100"/>
          <w:position w:val="0"/>
          <w:sz w:val="24"/>
          <w:szCs w:val="24"/>
          <w:shd w:val="clear" w:color="auto" w:fill="auto"/>
          <w:lang w:val="en-US" w:eastAsia="en-US" w:bidi="en-US"/>
        </w:rPr>
        <w:t>GIS</w:t>
      </w:r>
      <w:r>
        <w:rPr>
          <w:color w:val="000000"/>
          <w:spacing w:val="0"/>
          <w:w w:val="100"/>
          <w:position w:val="0"/>
          <w:sz w:val="24"/>
          <w:szCs w:val="24"/>
          <w:shd w:val="clear" w:color="auto" w:fill="auto"/>
        </w:rPr>
        <w:t>软件提取</w:t>
      </w:r>
      <w:r>
        <w:rPr>
          <w:rFonts w:hint="eastAsia"/>
          <w:color w:val="000000"/>
          <w:spacing w:val="0"/>
          <w:w w:val="100"/>
          <w:position w:val="0"/>
          <w:sz w:val="24"/>
          <w:szCs w:val="24"/>
          <w:shd w:val="clear" w:color="auto" w:fill="auto"/>
          <w:lang w:eastAsia="zh-CN"/>
        </w:rPr>
        <w:t>入样</w:t>
      </w:r>
      <w:r>
        <w:rPr>
          <w:color w:val="000000"/>
          <w:spacing w:val="0"/>
          <w:w w:val="100"/>
          <w:position w:val="0"/>
          <w:sz w:val="24"/>
          <w:szCs w:val="24"/>
          <w:shd w:val="clear" w:color="auto" w:fill="auto"/>
        </w:rPr>
        <w:t>图斑质心点经纬度坐标信息。</w:t>
      </w:r>
    </w:p>
    <w:p>
      <w:pPr>
        <w:pStyle w:val="9"/>
        <w:keepNext w:val="0"/>
        <w:keepLines w:val="0"/>
        <w:widowControl w:val="0"/>
        <w:shd w:val="clear" w:color="auto" w:fill="auto"/>
        <w:bidi w:val="0"/>
        <w:spacing w:before="0" w:after="0" w:line="317" w:lineRule="exact"/>
        <w:ind w:left="0" w:right="0" w:firstLine="440"/>
        <w:jc w:val="both"/>
        <w:rPr>
          <w:sz w:val="24"/>
          <w:szCs w:val="24"/>
        </w:rPr>
      </w:pPr>
      <w:r>
        <w:rPr>
          <w:color w:val="000000"/>
          <w:spacing w:val="0"/>
          <w:w w:val="100"/>
          <w:position w:val="0"/>
          <w:sz w:val="24"/>
          <w:szCs w:val="24"/>
          <w:shd w:val="clear" w:color="auto" w:fill="auto"/>
        </w:rPr>
        <w:t>其次，确定大</w:t>
      </w:r>
      <w:r>
        <w:rPr>
          <w:rFonts w:hint="eastAsia"/>
          <w:color w:val="000000"/>
          <w:spacing w:val="0"/>
          <w:w w:val="100"/>
          <w:position w:val="0"/>
          <w:sz w:val="24"/>
          <w:szCs w:val="24"/>
          <w:shd w:val="clear" w:color="auto" w:fill="auto"/>
          <w:lang w:eastAsia="zh-CN"/>
        </w:rPr>
        <w:t>入样</w:t>
      </w:r>
      <w:r>
        <w:rPr>
          <w:color w:val="000000"/>
          <w:spacing w:val="0"/>
          <w:w w:val="100"/>
          <w:position w:val="0"/>
          <w:sz w:val="24"/>
          <w:szCs w:val="24"/>
          <w:shd w:val="clear" w:color="auto" w:fill="auto"/>
        </w:rPr>
        <w:t>图斑内样点位置。大</w:t>
      </w:r>
      <w:r>
        <w:rPr>
          <w:rFonts w:hint="eastAsia"/>
          <w:color w:val="000000"/>
          <w:spacing w:val="0"/>
          <w:w w:val="100"/>
          <w:position w:val="0"/>
          <w:sz w:val="24"/>
          <w:szCs w:val="24"/>
          <w:shd w:val="clear" w:color="auto" w:fill="auto"/>
          <w:lang w:eastAsia="zh-CN"/>
        </w:rPr>
        <w:t>入样</w:t>
      </w:r>
      <w:r>
        <w:rPr>
          <w:color w:val="000000"/>
          <w:spacing w:val="0"/>
          <w:w w:val="100"/>
          <w:position w:val="0"/>
          <w:sz w:val="24"/>
          <w:szCs w:val="24"/>
          <w:shd w:val="clear" w:color="auto" w:fill="auto"/>
        </w:rPr>
        <w:t>图斑（面积大的</w:t>
      </w:r>
      <w:r>
        <w:rPr>
          <w:rFonts w:hint="eastAsia"/>
          <w:color w:val="000000"/>
          <w:spacing w:val="0"/>
          <w:w w:val="100"/>
          <w:position w:val="0"/>
          <w:sz w:val="24"/>
          <w:szCs w:val="24"/>
          <w:shd w:val="clear" w:color="auto" w:fill="auto"/>
          <w:lang w:eastAsia="zh-CN"/>
        </w:rPr>
        <w:t>入样</w:t>
      </w:r>
      <w:r>
        <w:rPr>
          <w:color w:val="000000"/>
          <w:spacing w:val="0"/>
          <w:w w:val="100"/>
          <w:position w:val="0"/>
          <w:sz w:val="24"/>
          <w:szCs w:val="24"/>
          <w:shd w:val="clear" w:color="auto" w:fill="auto"/>
        </w:rPr>
        <w:t>图斑），需要利用1</w:t>
      </w:r>
      <w:r>
        <w:rPr>
          <w:color w:val="000000"/>
          <w:spacing w:val="0"/>
          <w:w w:val="100"/>
          <w:position w:val="0"/>
          <w:sz w:val="24"/>
          <w:szCs w:val="24"/>
          <w:shd w:val="clear" w:color="auto" w:fill="auto"/>
          <w:lang w:val="en-US" w:eastAsia="en-US" w:bidi="en-US"/>
        </w:rPr>
        <w:t>kmX1km</w:t>
      </w:r>
      <w:r>
        <w:rPr>
          <w:color w:val="000000"/>
          <w:spacing w:val="0"/>
          <w:w w:val="100"/>
          <w:position w:val="0"/>
          <w:sz w:val="24"/>
          <w:szCs w:val="24"/>
          <w:shd w:val="clear" w:color="auto" w:fill="auto"/>
        </w:rPr>
        <w:t>（耕园地平地）、</w:t>
      </w:r>
      <w:r>
        <w:rPr>
          <w:color w:val="000000"/>
          <w:spacing w:val="0"/>
          <w:w w:val="100"/>
          <w:position w:val="0"/>
          <w:sz w:val="24"/>
          <w:szCs w:val="24"/>
          <w:shd w:val="clear" w:color="auto" w:fill="auto"/>
          <w:lang w:val="en-US" w:eastAsia="en-US" w:bidi="en-US"/>
        </w:rPr>
        <w:t>0.</w:t>
      </w:r>
      <w:r>
        <w:rPr>
          <w:color w:val="000000"/>
          <w:spacing w:val="0"/>
          <w:w w:val="100"/>
          <w:position w:val="0"/>
          <w:sz w:val="24"/>
          <w:szCs w:val="24"/>
          <w:shd w:val="clear" w:color="auto" w:fill="auto"/>
        </w:rPr>
        <w:t>707</w:t>
      </w:r>
      <w:r>
        <w:rPr>
          <w:rFonts w:hint="eastAsia"/>
          <w:color w:val="000000"/>
          <w:spacing w:val="0"/>
          <w:w w:val="100"/>
          <w:position w:val="0"/>
          <w:sz w:val="24"/>
          <w:szCs w:val="24"/>
          <w:shd w:val="clear" w:color="auto" w:fill="auto"/>
          <w:lang w:val="en-US" w:eastAsia="zh-CN"/>
        </w:rPr>
        <w:t>km×</w:t>
      </w:r>
      <w:r>
        <w:rPr>
          <w:rFonts w:hint="eastAsia"/>
          <w:color w:val="000000"/>
          <w:spacing w:val="0"/>
          <w:w w:val="100"/>
          <w:position w:val="0"/>
          <w:sz w:val="24"/>
          <w:szCs w:val="24"/>
          <w:shd w:val="clear" w:color="auto" w:fill="auto"/>
          <w:lang w:val="en-US" w:eastAsia="zh-CN" w:bidi="en-US"/>
        </w:rPr>
        <w:t>0.</w:t>
      </w:r>
      <w:r>
        <w:rPr>
          <w:color w:val="000000"/>
          <w:spacing w:val="0"/>
          <w:w w:val="100"/>
          <w:position w:val="0"/>
          <w:sz w:val="24"/>
          <w:szCs w:val="24"/>
          <w:shd w:val="clear" w:color="auto" w:fill="auto"/>
        </w:rPr>
        <w:t>707</w:t>
      </w:r>
      <w:r>
        <w:rPr>
          <w:color w:val="000000"/>
          <w:spacing w:val="0"/>
          <w:w w:val="100"/>
          <w:position w:val="0"/>
          <w:sz w:val="24"/>
          <w:szCs w:val="24"/>
          <w:shd w:val="clear" w:color="auto" w:fill="auto"/>
          <w:lang w:val="en-US" w:eastAsia="en-US" w:bidi="en-US"/>
        </w:rPr>
        <w:t>km</w:t>
      </w:r>
      <w:r>
        <w:rPr>
          <w:color w:val="000000"/>
          <w:spacing w:val="0"/>
          <w:w w:val="100"/>
          <w:position w:val="0"/>
          <w:sz w:val="24"/>
          <w:szCs w:val="24"/>
          <w:shd w:val="clear" w:color="auto" w:fill="auto"/>
        </w:rPr>
        <w:t>（耕园地丘陵山地）或4</w:t>
      </w:r>
      <w:r>
        <w:rPr>
          <w:color w:val="000000"/>
          <w:spacing w:val="0"/>
          <w:w w:val="100"/>
          <w:position w:val="0"/>
          <w:sz w:val="24"/>
          <w:szCs w:val="24"/>
          <w:shd w:val="clear" w:color="auto" w:fill="auto"/>
          <w:lang w:val="en-US" w:eastAsia="en-US" w:bidi="en-US"/>
        </w:rPr>
        <w:t>km</w:t>
      </w:r>
      <w:r>
        <w:rPr>
          <w:rFonts w:hint="eastAsia"/>
          <w:color w:val="000000"/>
          <w:spacing w:val="0"/>
          <w:w w:val="100"/>
          <w:position w:val="0"/>
          <w:sz w:val="24"/>
          <w:szCs w:val="24"/>
          <w:shd w:val="clear" w:color="auto" w:fill="auto"/>
          <w:lang w:val="en-US" w:eastAsia="zh-CN" w:bidi="en-US"/>
        </w:rPr>
        <w:t>×</w:t>
      </w:r>
      <w:r>
        <w:rPr>
          <w:color w:val="000000"/>
          <w:spacing w:val="0"/>
          <w:w w:val="100"/>
          <w:position w:val="0"/>
          <w:sz w:val="24"/>
          <w:szCs w:val="24"/>
          <w:shd w:val="clear" w:color="auto" w:fill="auto"/>
          <w:lang w:val="en-US" w:eastAsia="en-US" w:bidi="en-US"/>
        </w:rPr>
        <w:t>4km</w:t>
      </w:r>
      <w:r>
        <w:rPr>
          <w:color w:val="000000"/>
          <w:spacing w:val="0"/>
          <w:w w:val="100"/>
          <w:position w:val="0"/>
          <w:sz w:val="24"/>
          <w:szCs w:val="24"/>
          <w:shd w:val="clear" w:color="auto" w:fill="auto"/>
        </w:rPr>
        <w:t>（非牧区省林草盐碱地、牧区省与食物生产相关林草盐碱地）、</w:t>
      </w:r>
      <w:r>
        <w:rPr>
          <w:color w:val="000000"/>
          <w:spacing w:val="0"/>
          <w:w w:val="100"/>
          <w:position w:val="0"/>
          <w:sz w:val="24"/>
          <w:szCs w:val="24"/>
          <w:shd w:val="clear" w:color="auto" w:fill="auto"/>
          <w:lang w:val="en-US" w:eastAsia="en-US" w:bidi="en-US"/>
        </w:rPr>
        <w:t>6</w:t>
      </w:r>
      <w:r>
        <w:rPr>
          <w:rFonts w:hint="eastAsia"/>
          <w:color w:val="000000"/>
          <w:spacing w:val="0"/>
          <w:w w:val="100"/>
          <w:position w:val="0"/>
          <w:sz w:val="24"/>
          <w:szCs w:val="24"/>
          <w:shd w:val="clear" w:color="auto" w:fill="auto"/>
          <w:lang w:val="en-US" w:eastAsia="zh-CN" w:bidi="en-US"/>
        </w:rPr>
        <w:t>km×</w:t>
      </w:r>
      <w:r>
        <w:rPr>
          <w:color w:val="000000"/>
          <w:spacing w:val="0"/>
          <w:w w:val="100"/>
          <w:position w:val="0"/>
          <w:sz w:val="24"/>
          <w:szCs w:val="24"/>
          <w:shd w:val="clear" w:color="auto" w:fill="auto"/>
          <w:lang w:val="en-US" w:eastAsia="en-US" w:bidi="en-US"/>
        </w:rPr>
        <w:t>6km</w:t>
      </w:r>
      <w:r>
        <w:rPr>
          <w:color w:val="000000"/>
          <w:spacing w:val="0"/>
          <w:w w:val="100"/>
          <w:position w:val="0"/>
          <w:sz w:val="24"/>
          <w:szCs w:val="24"/>
          <w:shd w:val="clear" w:color="auto" w:fill="auto"/>
        </w:rPr>
        <w:t>（牧区省与食物生产无关林草盐碱地）网格将大</w:t>
      </w:r>
      <w:r>
        <w:rPr>
          <w:rFonts w:hint="eastAsia"/>
          <w:color w:val="000000"/>
          <w:spacing w:val="0"/>
          <w:w w:val="100"/>
          <w:position w:val="0"/>
          <w:sz w:val="24"/>
          <w:szCs w:val="24"/>
          <w:shd w:val="clear" w:color="auto" w:fill="auto"/>
          <w:lang w:eastAsia="zh-CN"/>
        </w:rPr>
        <w:t>入样</w:t>
      </w:r>
      <w:r>
        <w:rPr>
          <w:color w:val="000000"/>
          <w:spacing w:val="0"/>
          <w:w w:val="100"/>
          <w:position w:val="0"/>
          <w:sz w:val="24"/>
          <w:szCs w:val="24"/>
          <w:shd w:val="clear" w:color="auto" w:fill="auto"/>
        </w:rPr>
        <w:t>图斑分解成多个小面积图斑（网格边长是在确定布样密度下，由单个样点对应面积开方得到）。各种尺度网格均以普查县叠加图斑图层西、南至边界作为基准点。统计每个小图斑内的耕园地或林草盐碱地面积，并对这些小面积图斑按面积由大到小排序。根据表4至表8中规定的大</w:t>
      </w:r>
      <w:r>
        <w:rPr>
          <w:rFonts w:hint="eastAsia"/>
          <w:color w:val="000000"/>
          <w:spacing w:val="0"/>
          <w:w w:val="100"/>
          <w:position w:val="0"/>
          <w:sz w:val="24"/>
          <w:szCs w:val="24"/>
          <w:shd w:val="clear" w:color="auto" w:fill="auto"/>
          <w:lang w:eastAsia="zh-CN"/>
        </w:rPr>
        <w:t>入样</w:t>
      </w:r>
      <w:r>
        <w:rPr>
          <w:color w:val="000000"/>
          <w:spacing w:val="0"/>
          <w:w w:val="100"/>
          <w:position w:val="0"/>
          <w:sz w:val="24"/>
          <w:szCs w:val="24"/>
          <w:shd w:val="clear" w:color="auto" w:fill="auto"/>
        </w:rPr>
        <w:t>图斑内样点布设数量，选择面积排序靠前的耕园地或林草盐碱地的图斑作为大面积图斑中的</w:t>
      </w:r>
      <w:r>
        <w:rPr>
          <w:rFonts w:hint="eastAsia"/>
          <w:color w:val="000000"/>
          <w:spacing w:val="0"/>
          <w:w w:val="100"/>
          <w:position w:val="0"/>
          <w:sz w:val="24"/>
          <w:szCs w:val="24"/>
          <w:shd w:val="clear" w:color="auto" w:fill="auto"/>
          <w:lang w:eastAsia="zh-CN"/>
        </w:rPr>
        <w:t>入样</w:t>
      </w:r>
      <w:r>
        <w:rPr>
          <w:color w:val="000000"/>
          <w:spacing w:val="0"/>
          <w:w w:val="100"/>
          <w:position w:val="0"/>
          <w:sz w:val="24"/>
          <w:szCs w:val="24"/>
          <w:shd w:val="clear" w:color="auto" w:fill="auto"/>
        </w:rPr>
        <w:t>图斑，并将该图斑的质心点作为该大面积</w:t>
      </w:r>
      <w:r>
        <w:rPr>
          <w:rFonts w:hint="eastAsia"/>
          <w:color w:val="000000"/>
          <w:spacing w:val="0"/>
          <w:w w:val="100"/>
          <w:position w:val="0"/>
          <w:sz w:val="24"/>
          <w:szCs w:val="24"/>
          <w:shd w:val="clear" w:color="auto" w:fill="auto"/>
          <w:lang w:eastAsia="zh-CN"/>
        </w:rPr>
        <w:t>入样</w:t>
      </w:r>
      <w:r>
        <w:rPr>
          <w:color w:val="000000"/>
          <w:spacing w:val="0"/>
          <w:w w:val="100"/>
          <w:position w:val="0"/>
          <w:sz w:val="24"/>
          <w:szCs w:val="24"/>
          <w:shd w:val="clear" w:color="auto" w:fill="auto"/>
        </w:rPr>
        <w:t>图斑的样点位置。</w:t>
      </w:r>
    </w:p>
    <w:p>
      <w:pPr>
        <w:pStyle w:val="9"/>
        <w:keepNext w:val="0"/>
        <w:keepLines w:val="0"/>
        <w:widowControl w:val="0"/>
        <w:shd w:val="clear" w:color="auto" w:fill="auto"/>
        <w:bidi w:val="0"/>
        <w:spacing w:before="0" w:after="0" w:line="317" w:lineRule="exact"/>
        <w:ind w:left="0" w:right="0" w:firstLine="440"/>
        <w:jc w:val="both"/>
        <w:rPr>
          <w:sz w:val="24"/>
          <w:szCs w:val="24"/>
        </w:rPr>
      </w:pPr>
      <w:r>
        <w:rPr>
          <w:color w:val="000000"/>
          <w:spacing w:val="0"/>
          <w:w w:val="100"/>
          <w:position w:val="0"/>
          <w:sz w:val="24"/>
          <w:szCs w:val="24"/>
          <w:shd w:val="clear" w:color="auto" w:fill="auto"/>
        </w:rPr>
        <w:t>最后，确定查缺补漏样点位置。查缺补漏样点是针对普查县内有较大空白区域未布点而设计的。当某查缺补漏网格（牧区省</w:t>
      </w:r>
      <w:r>
        <w:rPr>
          <w:color w:val="000000"/>
          <w:spacing w:val="0"/>
          <w:w w:val="100"/>
          <w:position w:val="0"/>
          <w:sz w:val="24"/>
          <w:szCs w:val="24"/>
          <w:shd w:val="clear" w:color="auto" w:fill="auto"/>
          <w:lang w:val="en-US" w:eastAsia="en-US" w:bidi="en-US"/>
        </w:rPr>
        <w:t>8km</w:t>
      </w:r>
      <w:r>
        <w:rPr>
          <w:rFonts w:hint="eastAsia"/>
          <w:color w:val="000000"/>
          <w:spacing w:val="0"/>
          <w:w w:val="100"/>
          <w:position w:val="0"/>
          <w:sz w:val="24"/>
          <w:szCs w:val="24"/>
          <w:shd w:val="clear" w:color="auto" w:fill="auto"/>
          <w:lang w:val="en-US" w:eastAsia="zh-CN" w:bidi="en-US"/>
        </w:rPr>
        <w:t>×</w:t>
      </w:r>
      <w:r>
        <w:rPr>
          <w:color w:val="000000"/>
          <w:spacing w:val="0"/>
          <w:w w:val="100"/>
          <w:position w:val="0"/>
          <w:sz w:val="24"/>
          <w:szCs w:val="24"/>
          <w:shd w:val="clear" w:color="auto" w:fill="auto"/>
          <w:lang w:val="en-US" w:eastAsia="en-US" w:bidi="en-US"/>
        </w:rPr>
        <w:t>8km,</w:t>
      </w:r>
      <w:r>
        <w:rPr>
          <w:color w:val="000000"/>
          <w:spacing w:val="0"/>
          <w:w w:val="100"/>
          <w:position w:val="0"/>
          <w:sz w:val="24"/>
          <w:szCs w:val="24"/>
          <w:shd w:val="clear" w:color="auto" w:fill="auto"/>
        </w:rPr>
        <w:t>非牧区省6</w:t>
      </w:r>
      <w:r>
        <w:rPr>
          <w:color w:val="000000"/>
          <w:spacing w:val="0"/>
          <w:w w:val="100"/>
          <w:position w:val="0"/>
          <w:sz w:val="24"/>
          <w:szCs w:val="24"/>
          <w:shd w:val="clear" w:color="auto" w:fill="auto"/>
          <w:lang w:val="en-US" w:eastAsia="en-US" w:bidi="en-US"/>
        </w:rPr>
        <w:t>km</w:t>
      </w:r>
      <w:r>
        <w:rPr>
          <w:rFonts w:hint="eastAsia"/>
          <w:color w:val="000000"/>
          <w:spacing w:val="0"/>
          <w:w w:val="100"/>
          <w:position w:val="0"/>
          <w:sz w:val="24"/>
          <w:szCs w:val="24"/>
          <w:shd w:val="clear" w:color="auto" w:fill="auto"/>
          <w:lang w:val="en-US" w:eastAsia="zh-CN" w:bidi="en-US"/>
        </w:rPr>
        <w:t>×</w:t>
      </w:r>
      <w:r>
        <w:rPr>
          <w:color w:val="000000"/>
          <w:spacing w:val="0"/>
          <w:w w:val="100"/>
          <w:position w:val="0"/>
          <w:sz w:val="24"/>
          <w:szCs w:val="24"/>
          <w:shd w:val="clear" w:color="auto" w:fill="auto"/>
          <w:lang w:val="en-US" w:eastAsia="en-US" w:bidi="en-US"/>
        </w:rPr>
        <w:t>6km）</w:t>
      </w:r>
      <w:r>
        <w:rPr>
          <w:color w:val="000000"/>
          <w:spacing w:val="0"/>
          <w:w w:val="100"/>
          <w:position w:val="0"/>
          <w:sz w:val="24"/>
          <w:szCs w:val="24"/>
          <w:shd w:val="clear" w:color="auto" w:fill="auto"/>
        </w:rPr>
        <w:t>内没有样点分布时，选取该网格内最大面积图斑作为</w:t>
      </w:r>
      <w:r>
        <w:rPr>
          <w:rFonts w:hint="eastAsia"/>
          <w:color w:val="000000"/>
          <w:spacing w:val="0"/>
          <w:w w:val="100"/>
          <w:position w:val="0"/>
          <w:sz w:val="24"/>
          <w:szCs w:val="24"/>
          <w:shd w:val="clear" w:color="auto" w:fill="auto"/>
          <w:lang w:eastAsia="zh-CN"/>
        </w:rPr>
        <w:t>入样</w:t>
      </w:r>
      <w:r>
        <w:rPr>
          <w:color w:val="000000"/>
          <w:spacing w:val="0"/>
          <w:w w:val="100"/>
          <w:position w:val="0"/>
          <w:sz w:val="24"/>
          <w:szCs w:val="24"/>
          <w:shd w:val="clear" w:color="auto" w:fill="auto"/>
        </w:rPr>
        <w:t>图斑，将该图斑的质心点作为查缺补漏样点位置。</w:t>
      </w:r>
    </w:p>
    <w:p>
      <w:pPr>
        <w:pStyle w:val="9"/>
        <w:keepNext w:val="0"/>
        <w:keepLines w:val="0"/>
        <w:widowControl w:val="0"/>
        <w:numPr>
          <w:ilvl w:val="0"/>
          <w:numId w:val="0"/>
        </w:numPr>
        <w:shd w:val="clear" w:color="auto" w:fill="auto"/>
        <w:tabs>
          <w:tab w:val="left" w:pos="334"/>
        </w:tabs>
        <w:bidi w:val="0"/>
        <w:spacing w:before="0" w:after="0" w:line="317" w:lineRule="exact"/>
        <w:ind w:leftChars="0" w:right="0" w:rightChars="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4.2</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4.</w:t>
      </w:r>
      <w:r>
        <w:rPr>
          <w:rFonts w:hint="eastAsia" w:asciiTheme="majorEastAsia" w:hAnsiTheme="majorEastAsia" w:eastAsiaTheme="majorEastAsia" w:cstheme="majorEastAsia"/>
          <w:b/>
          <w:bCs/>
          <w:color w:val="000000"/>
          <w:spacing w:val="0"/>
          <w:w w:val="100"/>
          <w:position w:val="0"/>
          <w:sz w:val="24"/>
          <w:szCs w:val="24"/>
          <w:shd w:val="clear" w:color="auto" w:fill="auto"/>
        </w:rPr>
        <w:t>5形成表层样点预布设方案</w:t>
      </w:r>
    </w:p>
    <w:p>
      <w:pPr>
        <w:pStyle w:val="9"/>
        <w:keepNext w:val="0"/>
        <w:keepLines w:val="0"/>
        <w:widowControl w:val="0"/>
        <w:shd w:val="clear" w:color="auto" w:fill="auto"/>
        <w:bidi w:val="0"/>
        <w:spacing w:before="0" w:after="0" w:line="317"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（1）采样点空间分布图生成。</w:t>
      </w:r>
    </w:p>
    <w:p>
      <w:pPr>
        <w:pStyle w:val="9"/>
        <w:keepNext w:val="0"/>
        <w:keepLines w:val="0"/>
        <w:widowControl w:val="0"/>
        <w:shd w:val="clear" w:color="auto" w:fill="auto"/>
        <w:bidi w:val="0"/>
        <w:spacing w:before="0" w:after="0" w:line="317" w:lineRule="exact"/>
        <w:ind w:left="0" w:right="0" w:firstLine="440"/>
        <w:jc w:val="both"/>
        <w:rPr>
          <w:rFonts w:hint="eastAsia" w:eastAsiaTheme="minorEastAsia"/>
          <w:lang w:val="en-US" w:eastAsia="zh-CN"/>
        </w:rPr>
      </w:pPr>
      <w:r>
        <w:rPr>
          <w:rFonts w:hint="eastAsia" w:asciiTheme="minorEastAsia" w:hAnsiTheme="minorEastAsia" w:eastAsiaTheme="minorEastAsia" w:cstheme="minorEastAsia"/>
          <w:color w:val="000000"/>
          <w:spacing w:val="0"/>
          <w:w w:val="100"/>
          <w:position w:val="0"/>
          <w:sz w:val="24"/>
          <w:szCs w:val="24"/>
          <w:shd w:val="clear" w:color="auto" w:fill="auto"/>
        </w:rPr>
        <w:t>根据前面4个步骤确定的叠加图斑、</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图斑、采样点数量与空间位置，利用</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GIS</w:t>
      </w:r>
      <w:r>
        <w:rPr>
          <w:rFonts w:hint="eastAsia" w:asciiTheme="minorEastAsia" w:hAnsiTheme="minorEastAsia" w:eastAsiaTheme="minorEastAsia" w:cstheme="minorEastAsia"/>
          <w:color w:val="000000"/>
          <w:spacing w:val="0"/>
          <w:w w:val="100"/>
          <w:position w:val="0"/>
          <w:sz w:val="24"/>
          <w:szCs w:val="24"/>
          <w:shd w:val="clear" w:color="auto" w:fill="auto"/>
        </w:rPr>
        <w:t>软件生成普查县采样点空间分布图，包括普查县采样点数量、位置与空间分布、采样地块边界、面积与空间分布、耕园林草盐碱地的面积与空间分布等。</w:t>
      </w:r>
    </w:p>
    <w:p>
      <w:pPr>
        <w:pStyle w:val="9"/>
        <w:keepNext w:val="0"/>
        <w:keepLines w:val="0"/>
        <w:widowControl w:val="0"/>
        <w:shd w:val="clear" w:color="auto" w:fill="auto"/>
        <w:bidi w:val="0"/>
        <w:spacing w:before="0" w:after="0" w:line="317"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（2）平行样品点抽选。</w:t>
      </w:r>
    </w:p>
    <w:p>
      <w:pPr>
        <w:pStyle w:val="9"/>
        <w:keepNext w:val="0"/>
        <w:keepLines w:val="0"/>
        <w:widowControl w:val="0"/>
        <w:shd w:val="clear" w:color="auto" w:fill="auto"/>
        <w:bidi w:val="0"/>
        <w:spacing w:before="0" w:after="180" w:line="317" w:lineRule="exact"/>
        <w:ind w:left="0" w:right="0" w:firstLine="440"/>
        <w:jc w:val="both"/>
      </w:pPr>
      <w:r>
        <w:rPr>
          <w:rFonts w:hint="eastAsia" w:asciiTheme="minorEastAsia" w:hAnsiTheme="minorEastAsia" w:eastAsiaTheme="minorEastAsia" w:cstheme="minorEastAsia"/>
          <w:color w:val="000000"/>
          <w:spacing w:val="0"/>
          <w:w w:val="100"/>
          <w:position w:val="0"/>
          <w:sz w:val="24"/>
          <w:szCs w:val="24"/>
          <w:shd w:val="clear" w:color="auto" w:fill="auto"/>
        </w:rPr>
        <w:t>采用简单随机抽样方式从全县采样点中抽选确定平行样点。先将全县样点按1到</w:t>
      </w:r>
      <w:r>
        <w:rPr>
          <w:rFonts w:hint="eastAsia" w:asciiTheme="minorEastAsia" w:hAnsiTheme="minorEastAsia" w:eastAsiaTheme="minorEastAsia" w:cstheme="minorEastAsia"/>
          <w:i w:val="0"/>
          <w:iCs w:val="0"/>
          <w:color w:val="000000"/>
          <w:spacing w:val="0"/>
          <w:w w:val="100"/>
          <w:position w:val="0"/>
          <w:sz w:val="24"/>
          <w:szCs w:val="24"/>
          <w:shd w:val="clear" w:color="auto" w:fill="auto"/>
          <w:lang w:val="en-US" w:eastAsia="en-US" w:bidi="en-US"/>
        </w:rPr>
        <w:t>N</w:t>
      </w:r>
      <w:r>
        <w:rPr>
          <w:rFonts w:hint="eastAsia" w:asciiTheme="minorEastAsia" w:hAnsiTheme="minorEastAsia" w:eastAsiaTheme="minorEastAsia" w:cstheme="minorEastAsia"/>
          <w:color w:val="000000"/>
          <w:spacing w:val="0"/>
          <w:w w:val="100"/>
          <w:position w:val="0"/>
          <w:sz w:val="24"/>
          <w:szCs w:val="24"/>
          <w:shd w:val="clear" w:color="auto" w:fill="auto"/>
        </w:rPr>
        <w:t>（样点总数）编码，针对平行样的数量生成同等数量的伪随机数，当样点编码与伪随机数相同时，该样点即被选为平行样品点。平行样的抽样比为1/45,即每45个全县样点中抽出1个平行样点，不足45个样</w:t>
      </w:r>
      <w:r>
        <w:rPr>
          <w:color w:val="000000"/>
          <w:spacing w:val="0"/>
          <w:w w:val="100"/>
          <w:position w:val="0"/>
          <w:sz w:val="24"/>
          <w:szCs w:val="24"/>
          <w:shd w:val="clear" w:color="auto" w:fill="auto"/>
        </w:rPr>
        <w:t>点的部分抽取1个。</w:t>
      </w:r>
    </w:p>
    <w:p>
      <w:pPr>
        <w:pStyle w:val="21"/>
        <w:keepNext/>
        <w:keepLines/>
        <w:widowControl w:val="0"/>
        <w:numPr>
          <w:ilvl w:val="0"/>
          <w:numId w:val="0"/>
        </w:numPr>
        <w:shd w:val="clear" w:color="auto" w:fill="auto"/>
        <w:tabs>
          <w:tab w:val="left" w:pos="354"/>
        </w:tabs>
        <w:bidi w:val="0"/>
        <w:spacing w:before="0" w:after="120" w:line="311" w:lineRule="exact"/>
        <w:ind w:leftChars="0" w:right="0" w:rightChars="0"/>
        <w:jc w:val="left"/>
        <w:rPr>
          <w:rFonts w:hint="eastAsia" w:asciiTheme="majorEastAsia" w:hAnsiTheme="majorEastAsia" w:eastAsiaTheme="majorEastAsia" w:cstheme="majorEastAsia"/>
          <w:b/>
          <w:bCs/>
          <w:sz w:val="24"/>
          <w:szCs w:val="24"/>
        </w:rPr>
      </w:pPr>
      <w:bookmarkStart w:id="12" w:name="bookmark26"/>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4.3  </w:t>
      </w:r>
      <w:r>
        <w:rPr>
          <w:rFonts w:hint="eastAsia" w:asciiTheme="majorEastAsia" w:hAnsiTheme="majorEastAsia" w:eastAsiaTheme="majorEastAsia" w:cstheme="majorEastAsia"/>
          <w:b/>
          <w:bCs/>
          <w:color w:val="000000"/>
          <w:spacing w:val="0"/>
          <w:w w:val="100"/>
          <w:position w:val="0"/>
          <w:sz w:val="24"/>
          <w:szCs w:val="24"/>
          <w:shd w:val="clear" w:color="auto" w:fill="auto"/>
        </w:rPr>
        <w:t>剖面样点预布设</w:t>
      </w:r>
      <w:bookmarkEnd w:id="12"/>
    </w:p>
    <w:p>
      <w:pPr>
        <w:pStyle w:val="21"/>
        <w:keepNext/>
        <w:keepLines/>
        <w:widowControl w:val="0"/>
        <w:numPr>
          <w:ilvl w:val="0"/>
          <w:numId w:val="0"/>
        </w:numPr>
        <w:shd w:val="clear" w:color="auto" w:fill="auto"/>
        <w:tabs>
          <w:tab w:val="left" w:pos="739"/>
        </w:tabs>
        <w:bidi w:val="0"/>
        <w:spacing w:before="0" w:after="0" w:line="311" w:lineRule="exact"/>
        <w:ind w:leftChars="0" w:right="0" w:rightChars="0"/>
        <w:jc w:val="left"/>
        <w:rPr>
          <w:sz w:val="24"/>
          <w:szCs w:val="24"/>
        </w:rPr>
      </w:pPr>
      <w:r>
        <w:rPr>
          <w:rFonts w:hint="eastAsia"/>
          <w:color w:val="000000"/>
          <w:spacing w:val="0"/>
          <w:w w:val="100"/>
          <w:position w:val="0"/>
          <w:sz w:val="24"/>
          <w:szCs w:val="24"/>
          <w:shd w:val="clear" w:color="auto" w:fill="auto"/>
          <w:lang w:val="en-US" w:eastAsia="zh-CN"/>
        </w:rPr>
        <w:t xml:space="preserve">4.3.1  </w:t>
      </w:r>
      <w:r>
        <w:rPr>
          <w:color w:val="000000"/>
          <w:spacing w:val="0"/>
          <w:w w:val="100"/>
          <w:position w:val="0"/>
          <w:sz w:val="24"/>
          <w:szCs w:val="24"/>
          <w:shd w:val="clear" w:color="auto" w:fill="auto"/>
        </w:rPr>
        <w:t>剖面调查布点的原则</w:t>
      </w:r>
    </w:p>
    <w:p>
      <w:pPr>
        <w:pStyle w:val="9"/>
        <w:keepNext w:val="0"/>
        <w:keepLines w:val="0"/>
        <w:widowControl w:val="0"/>
        <w:shd w:val="clear" w:color="auto" w:fill="auto"/>
        <w:bidi w:val="0"/>
        <w:spacing w:before="0" w:after="0" w:line="311"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宏观代表性与局地代表性相结合。</w:t>
      </w:r>
    </w:p>
    <w:p>
      <w:pPr>
        <w:pStyle w:val="9"/>
        <w:keepNext w:val="0"/>
        <w:keepLines w:val="0"/>
        <w:widowControl w:val="0"/>
        <w:shd w:val="clear" w:color="auto" w:fill="auto"/>
        <w:bidi w:val="0"/>
        <w:spacing w:before="0" w:after="0" w:line="311"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剖面样点应抓住省域范围土壤类型分布规律(地带性和非地带性分布)，抓住典型土壤类型，尽可能覆盖所有主要的成土环境条件，同时布设在典型的景观部位。</w:t>
      </w:r>
    </w:p>
    <w:p>
      <w:pPr>
        <w:pStyle w:val="9"/>
        <w:keepNext w:val="0"/>
        <w:keepLines w:val="0"/>
        <w:widowControl w:val="0"/>
        <w:numPr>
          <w:ilvl w:val="0"/>
          <w:numId w:val="0"/>
        </w:numPr>
        <w:shd w:val="clear" w:color="auto" w:fill="auto"/>
        <w:bidi w:val="0"/>
        <w:spacing w:before="0" w:after="0" w:line="311" w:lineRule="exact"/>
        <w:ind w:left="440" w:leftChars="0" w:right="0" w:right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2</w:t>
      </w: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体现普查重点和土壤演变。</w:t>
      </w:r>
    </w:p>
    <w:p>
      <w:pPr>
        <w:pStyle w:val="9"/>
        <w:keepNext w:val="0"/>
        <w:keepLines w:val="0"/>
        <w:widowControl w:val="0"/>
        <w:shd w:val="clear" w:color="auto" w:fill="auto"/>
        <w:bidi w:val="0"/>
        <w:spacing w:before="0" w:after="0" w:line="311"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耕园地为重点，兼顾林草盐碱地，同时捕捉土地利用变更等不同动因类别(如水改旱、盐分洗脱、复垦等)土壤类型在时间上的演变。</w:t>
      </w:r>
    </w:p>
    <w:p>
      <w:pPr>
        <w:pStyle w:val="9"/>
        <w:keepNext w:val="0"/>
        <w:keepLines w:val="0"/>
        <w:widowControl w:val="0"/>
        <w:numPr>
          <w:ilvl w:val="0"/>
          <w:numId w:val="0"/>
        </w:numPr>
        <w:shd w:val="clear" w:color="auto" w:fill="auto"/>
        <w:bidi w:val="0"/>
        <w:spacing w:before="0" w:after="0" w:line="311" w:lineRule="exact"/>
        <w:ind w:left="440" w:leftChars="0" w:right="0" w:right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3</w:t>
      </w: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代表性第一位、空间均衡性第二位。</w:t>
      </w:r>
    </w:p>
    <w:p>
      <w:pPr>
        <w:pStyle w:val="9"/>
        <w:keepNext w:val="0"/>
        <w:keepLines w:val="0"/>
        <w:widowControl w:val="0"/>
        <w:shd w:val="clear" w:color="auto" w:fill="auto"/>
        <w:bidi w:val="0"/>
        <w:spacing w:before="0" w:after="0" w:line="311" w:lineRule="exact"/>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代表性与空间均衡性是权衡关系，在满足代表性的前提下尽可能使剖面样点分布空间相对均衡。</w:t>
      </w:r>
    </w:p>
    <w:p>
      <w:pPr>
        <w:pStyle w:val="9"/>
        <w:keepNext w:val="0"/>
        <w:keepLines w:val="0"/>
        <w:widowControl w:val="0"/>
        <w:numPr>
          <w:ilvl w:val="0"/>
          <w:numId w:val="0"/>
        </w:numPr>
        <w:shd w:val="clear" w:color="auto" w:fill="auto"/>
        <w:bidi w:val="0"/>
        <w:spacing w:before="0" w:after="0" w:line="311" w:lineRule="exact"/>
        <w:ind w:left="440" w:leftChars="0" w:right="0" w:right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4</w:t>
      </w: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用途导向、可操作及效率。</w:t>
      </w:r>
    </w:p>
    <w:p>
      <w:pPr>
        <w:pStyle w:val="9"/>
        <w:keepNext w:val="0"/>
        <w:keepLines w:val="0"/>
        <w:widowControl w:val="0"/>
        <w:shd w:val="clear" w:color="auto" w:fill="auto"/>
        <w:bidi w:val="0"/>
        <w:spacing w:before="0" w:after="0" w:line="311"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剖面布点要面向外业调查、土壤分类校准、土壤类型制图和土种志编制等用途，同时要具有野外可达性和野外挖掘采样的可操作性和效率。</w:t>
      </w:r>
    </w:p>
    <w:p>
      <w:pPr>
        <w:pStyle w:val="21"/>
        <w:keepNext/>
        <w:keepLines/>
        <w:widowControl w:val="0"/>
        <w:numPr>
          <w:ilvl w:val="0"/>
          <w:numId w:val="0"/>
        </w:numPr>
        <w:shd w:val="clear" w:color="auto" w:fill="auto"/>
        <w:tabs>
          <w:tab w:val="left" w:pos="739"/>
        </w:tabs>
        <w:bidi w:val="0"/>
        <w:spacing w:before="0" w:after="0" w:line="311" w:lineRule="exact"/>
        <w:ind w:leftChars="0" w:right="0" w:rightChars="0"/>
        <w:jc w:val="left"/>
      </w:pPr>
      <w:bookmarkStart w:id="13" w:name="bookmark29"/>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4.3.2  </w:t>
      </w:r>
      <w:r>
        <w:rPr>
          <w:rFonts w:hint="eastAsia" w:asciiTheme="majorEastAsia" w:hAnsiTheme="majorEastAsia" w:eastAsiaTheme="majorEastAsia" w:cstheme="majorEastAsia"/>
          <w:b/>
          <w:bCs/>
          <w:color w:val="000000"/>
          <w:spacing w:val="0"/>
          <w:w w:val="100"/>
          <w:position w:val="0"/>
          <w:sz w:val="24"/>
          <w:szCs w:val="24"/>
          <w:shd w:val="clear" w:color="auto" w:fill="auto"/>
        </w:rPr>
        <w:t>剖面样点预布设总体思路</w:t>
      </w:r>
      <w:bookmarkEnd w:id="13"/>
    </w:p>
    <w:p>
      <w:pPr>
        <w:pStyle w:val="9"/>
        <w:keepNext w:val="0"/>
        <w:keepLines w:val="0"/>
        <w:widowControl w:val="0"/>
        <w:shd w:val="clear" w:color="auto" w:fill="auto"/>
        <w:bidi w:val="0"/>
        <w:spacing w:before="0" w:after="0" w:line="311" w:lineRule="exact"/>
        <w:ind w:left="0" w:right="0" w:firstLine="44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b w:val="0"/>
          <w:bCs w:val="0"/>
          <w:color w:val="000000"/>
          <w:spacing w:val="0"/>
          <w:w w:val="100"/>
          <w:position w:val="0"/>
          <w:sz w:val="21"/>
          <w:szCs w:val="21"/>
          <w:shd w:val="clear" w:color="auto" w:fill="auto"/>
        </w:rPr>
        <w:t>采用省域统筹布设剖面样点。二普土壤图是对土壤分异的先验认识，以二普土壤图斑为基础，宏观代表性与局地代表性相结合，考虑多尺度的土壤分异规律，布设重点是耕园地，兼顾林草盐碱地,主体上采样典型布点，在土壤类型变化区加点，实现省域剖面样点布设(图2)。</w:t>
      </w:r>
    </w:p>
    <w:p>
      <w:pPr>
        <w:widowControl w:val="0"/>
        <w:spacing w:line="1" w:lineRule="exact"/>
      </w:pPr>
    </w:p>
    <w:p>
      <w:pPr>
        <w:widowControl w:val="0"/>
        <w:spacing w:line="1" w:lineRule="exact"/>
      </w:pPr>
      <w:r>
        <w:drawing>
          <wp:anchor distT="331470" distB="234315" distL="0" distR="0" simplePos="0" relativeHeight="251661312" behindDoc="0" locked="0" layoutInCell="1" allowOverlap="1">
            <wp:simplePos x="0" y="0"/>
            <wp:positionH relativeFrom="page">
              <wp:posOffset>3275965</wp:posOffset>
            </wp:positionH>
            <wp:positionV relativeFrom="paragraph">
              <wp:posOffset>668655</wp:posOffset>
            </wp:positionV>
            <wp:extent cx="1334770" cy="956945"/>
            <wp:effectExtent l="0" t="0" r="6350" b="3175"/>
            <wp:wrapTopAndBottom/>
            <wp:docPr id="35" name="Shape 35"/>
            <wp:cNvGraphicFramePr/>
            <a:graphic xmlns:a="http://schemas.openxmlformats.org/drawingml/2006/main">
              <a:graphicData uri="http://schemas.openxmlformats.org/drawingml/2006/picture">
                <pic:pic xmlns:pic="http://schemas.openxmlformats.org/drawingml/2006/picture">
                  <pic:nvPicPr>
                    <pic:cNvPr id="35" name="Shape 35"/>
                    <pic:cNvPicPr/>
                  </pic:nvPicPr>
                  <pic:blipFill>
                    <a:blip r:embed="rId21"/>
                    <a:stretch>
                      <a:fillRect/>
                    </a:stretch>
                  </pic:blipFill>
                  <pic:spPr>
                    <a:xfrm>
                      <a:off x="0" y="0"/>
                      <a:ext cx="1334770" cy="956945"/>
                    </a:xfrm>
                    <a:prstGeom prst="rect">
                      <a:avLst/>
                    </a:prstGeom>
                  </pic:spPr>
                </pic:pic>
              </a:graphicData>
            </a:graphic>
          </wp:anchor>
        </w:drawing>
      </w:r>
      <w:r>
        <mc:AlternateContent>
          <mc:Choice Requires="wps">
            <w:drawing>
              <wp:anchor distT="1233170" distB="0" distL="0" distR="0" simplePos="0" relativeHeight="251661312" behindDoc="0" locked="0" layoutInCell="1" allowOverlap="1">
                <wp:simplePos x="0" y="0"/>
                <wp:positionH relativeFrom="page">
                  <wp:posOffset>1337945</wp:posOffset>
                </wp:positionH>
                <wp:positionV relativeFrom="paragraph">
                  <wp:posOffset>1395095</wp:posOffset>
                </wp:positionV>
                <wp:extent cx="1558925" cy="505460"/>
                <wp:effectExtent l="6350" t="6350" r="19685" b="6350"/>
                <wp:wrapTopAndBottom/>
                <wp:docPr id="33" name="Shape 33"/>
                <wp:cNvGraphicFramePr/>
                <a:graphic xmlns:a="http://schemas.openxmlformats.org/drawingml/2006/main">
                  <a:graphicData uri="http://schemas.microsoft.com/office/word/2010/wordprocessingShape">
                    <wps:wsp>
                      <wps:cNvSpPr txBox="1"/>
                      <wps:spPr>
                        <a:xfrm>
                          <a:off x="0" y="0"/>
                          <a:ext cx="1558925" cy="505460"/>
                        </a:xfrm>
                        <a:prstGeom prst="rect">
                          <a:avLst/>
                        </a:prstGeom>
                        <a:noFill/>
                        <a:ln w="12700">
                          <a:solidFill>
                            <a:schemeClr val="tx1"/>
                          </a:solidFill>
                        </a:ln>
                      </wps:spPr>
                      <wps:txbx>
                        <w:txbxContent>
                          <w:p>
                            <w:pPr>
                              <w:pStyle w:val="9"/>
                              <w:keepNext w:val="0"/>
                              <w:keepLines w:val="0"/>
                              <w:widowControl w:val="0"/>
                              <w:shd w:val="clear" w:color="auto" w:fill="auto"/>
                              <w:bidi w:val="0"/>
                              <w:spacing w:before="0" w:after="0" w:line="211" w:lineRule="exact"/>
                              <w:ind w:left="0" w:right="0" w:firstLine="0"/>
                              <w:jc w:val="center"/>
                              <w:rPr>
                                <w:rFonts w:hint="eastAsia"/>
                                <w:color w:val="231F20"/>
                                <w:spacing w:val="0"/>
                                <w:w w:val="100"/>
                                <w:position w:val="0"/>
                                <w:shd w:val="clear" w:color="auto" w:fill="auto"/>
                                <w:lang w:val="en-US" w:eastAsia="zh-CN"/>
                              </w:rPr>
                            </w:pPr>
                            <w:r>
                              <w:rPr>
                                <w:rFonts w:hint="eastAsia"/>
                                <w:color w:val="231F20"/>
                                <w:spacing w:val="0"/>
                                <w:w w:val="100"/>
                                <w:position w:val="0"/>
                                <w:shd w:val="clear" w:color="auto" w:fill="auto"/>
                                <w:lang w:val="en-US" w:eastAsia="zh-CN"/>
                              </w:rPr>
                              <w:t xml:space="preserve"> </w:t>
                            </w:r>
                          </w:p>
                          <w:p>
                            <w:pPr>
                              <w:pStyle w:val="9"/>
                              <w:keepNext w:val="0"/>
                              <w:keepLines w:val="0"/>
                              <w:widowControl w:val="0"/>
                              <w:shd w:val="clear" w:color="auto" w:fill="auto"/>
                              <w:bidi w:val="0"/>
                              <w:spacing w:before="0" w:after="0" w:line="211" w:lineRule="exact"/>
                              <w:ind w:left="0" w:right="0" w:firstLine="0"/>
                              <w:jc w:val="center"/>
                            </w:pPr>
                            <w:r>
                              <w:rPr>
                                <w:color w:val="231F20"/>
                                <w:spacing w:val="0"/>
                                <w:w w:val="100"/>
                                <w:position w:val="0"/>
                                <w:shd w:val="clear" w:color="auto" w:fill="auto"/>
                              </w:rPr>
                              <w:t>重点耕园地</w:t>
                            </w:r>
                            <w:r>
                              <w:rPr>
                                <w:color w:val="231F20"/>
                                <w:spacing w:val="0"/>
                                <w:w w:val="100"/>
                                <w:position w:val="0"/>
                                <w:shd w:val="clear" w:color="auto" w:fill="auto"/>
                              </w:rPr>
                              <w:br w:type="textWrapping"/>
                            </w:r>
                            <w:r>
                              <w:rPr>
                                <w:color w:val="231F20"/>
                                <w:spacing w:val="0"/>
                                <w:w w:val="100"/>
                                <w:position w:val="0"/>
                                <w:shd w:val="clear" w:color="auto" w:fill="auto"/>
                              </w:rPr>
                              <w:t>兼顾林草盐碱地</w:t>
                            </w:r>
                          </w:p>
                        </w:txbxContent>
                      </wps:txbx>
                      <wps:bodyPr lIns="0" tIns="0" rIns="0" bIns="0">
                        <a:noAutofit/>
                      </wps:bodyPr>
                    </wps:wsp>
                  </a:graphicData>
                </a:graphic>
              </wp:anchor>
            </w:drawing>
          </mc:Choice>
          <mc:Fallback>
            <w:pict>
              <v:shape id="Shape 33" o:spid="_x0000_s1026" o:spt="202" type="#_x0000_t202" style="position:absolute;left:0pt;margin-left:105.35pt;margin-top:109.85pt;height:39.8pt;width:122.75pt;mso-position-horizontal-relative:page;mso-wrap-distance-bottom:0pt;mso-wrap-distance-top:97.1pt;z-index:251661312;mso-width-relative:page;mso-height-relative:page;" filled="f" stroked="t" coordsize="21600,21600" o:gfxdata="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li3kzaAAAACwEAAA8AAAAAAAAAAQAgAAAAIgAA&#10;AGRycy9kb3ducmV2LnhtbFBLAQIUABQAAAAIAIdO4kA5U5EnzQEAALEDAAAOAAAAAAAAAAEAIAAA&#10;ACkBAABkcnMvZTJvRG9jLnhtbFBLBQYAAAAABgAGAFkBAABoBQAAAAA=&#10;">
                <v:fill on="f" focussize="0,0"/>
                <v:stroke weight="1pt" color="#000000 [3213]" joinstyle="round"/>
                <v:imagedata o:title=""/>
                <o:lock v:ext="edit" aspectratio="f"/>
                <v:textbox inset="0mm,0mm,0mm,0mm">
                  <w:txbxContent>
                    <w:p>
                      <w:pPr>
                        <w:pStyle w:val="9"/>
                        <w:keepNext w:val="0"/>
                        <w:keepLines w:val="0"/>
                        <w:widowControl w:val="0"/>
                        <w:shd w:val="clear" w:color="auto" w:fill="auto"/>
                        <w:bidi w:val="0"/>
                        <w:spacing w:before="0" w:after="0" w:line="211" w:lineRule="exact"/>
                        <w:ind w:left="0" w:right="0" w:firstLine="0"/>
                        <w:jc w:val="center"/>
                        <w:rPr>
                          <w:rFonts w:hint="eastAsia"/>
                          <w:color w:val="231F20"/>
                          <w:spacing w:val="0"/>
                          <w:w w:val="100"/>
                          <w:position w:val="0"/>
                          <w:shd w:val="clear" w:color="auto" w:fill="auto"/>
                          <w:lang w:val="en-US" w:eastAsia="zh-CN"/>
                        </w:rPr>
                      </w:pPr>
                      <w:r>
                        <w:rPr>
                          <w:rFonts w:hint="eastAsia"/>
                          <w:color w:val="231F20"/>
                          <w:spacing w:val="0"/>
                          <w:w w:val="100"/>
                          <w:position w:val="0"/>
                          <w:shd w:val="clear" w:color="auto" w:fill="auto"/>
                          <w:lang w:val="en-US" w:eastAsia="zh-CN"/>
                        </w:rPr>
                        <w:t xml:space="preserve"> </w:t>
                      </w:r>
                    </w:p>
                    <w:p>
                      <w:pPr>
                        <w:pStyle w:val="9"/>
                        <w:keepNext w:val="0"/>
                        <w:keepLines w:val="0"/>
                        <w:widowControl w:val="0"/>
                        <w:shd w:val="clear" w:color="auto" w:fill="auto"/>
                        <w:bidi w:val="0"/>
                        <w:spacing w:before="0" w:after="0" w:line="211" w:lineRule="exact"/>
                        <w:ind w:left="0" w:right="0" w:firstLine="0"/>
                        <w:jc w:val="center"/>
                      </w:pPr>
                      <w:r>
                        <w:rPr>
                          <w:color w:val="231F20"/>
                          <w:spacing w:val="0"/>
                          <w:w w:val="100"/>
                          <w:position w:val="0"/>
                          <w:shd w:val="clear" w:color="auto" w:fill="auto"/>
                        </w:rPr>
                        <w:t>重点耕园地</w:t>
                      </w:r>
                      <w:r>
                        <w:rPr>
                          <w:color w:val="231F20"/>
                          <w:spacing w:val="0"/>
                          <w:w w:val="100"/>
                          <w:position w:val="0"/>
                          <w:shd w:val="clear" w:color="auto" w:fill="auto"/>
                        </w:rPr>
                        <w:br w:type="textWrapping"/>
                      </w:r>
                      <w:r>
                        <w:rPr>
                          <w:color w:val="231F20"/>
                          <w:spacing w:val="0"/>
                          <w:w w:val="100"/>
                          <w:position w:val="0"/>
                          <w:shd w:val="clear" w:color="auto" w:fill="auto"/>
                        </w:rPr>
                        <w:t>兼顾林草盐碱地</w:t>
                      </w:r>
                    </w:p>
                  </w:txbxContent>
                </v:textbox>
                <w10:wrap type="topAndBottom"/>
              </v:shape>
            </w:pict>
          </mc:Fallback>
        </mc:AlternateContent>
      </w:r>
      <w:r>
        <mc:AlternateContent>
          <mc:Choice Requires="wps">
            <w:drawing>
              <wp:anchor distT="130175" distB="1102995" distL="0" distR="0" simplePos="0" relativeHeight="251661312" behindDoc="0" locked="0" layoutInCell="1" allowOverlap="1">
                <wp:simplePos x="0" y="0"/>
                <wp:positionH relativeFrom="page">
                  <wp:posOffset>1369695</wp:posOffset>
                </wp:positionH>
                <wp:positionV relativeFrom="paragraph">
                  <wp:posOffset>393065</wp:posOffset>
                </wp:positionV>
                <wp:extent cx="1508760" cy="532765"/>
                <wp:effectExtent l="6350" t="6350" r="8890" b="9525"/>
                <wp:wrapTopAndBottom/>
                <wp:docPr id="31" name="Shape 31"/>
                <wp:cNvGraphicFramePr/>
                <a:graphic xmlns:a="http://schemas.openxmlformats.org/drawingml/2006/main">
                  <a:graphicData uri="http://schemas.microsoft.com/office/word/2010/wordprocessingShape">
                    <wps:wsp>
                      <wps:cNvSpPr txBox="1"/>
                      <wps:spPr>
                        <a:xfrm>
                          <a:off x="0" y="0"/>
                          <a:ext cx="1508760" cy="532765"/>
                        </a:xfrm>
                        <a:prstGeom prst="rect">
                          <a:avLst/>
                        </a:prstGeom>
                        <a:noFill/>
                        <a:ln w="12700">
                          <a:solidFill>
                            <a:schemeClr val="tx1"/>
                          </a:solidFill>
                        </a:ln>
                      </wps:spPr>
                      <wps:txbx>
                        <w:txbxContent>
                          <w:p>
                            <w:pPr>
                              <w:pStyle w:val="9"/>
                              <w:keepNext w:val="0"/>
                              <w:keepLines w:val="0"/>
                              <w:widowControl w:val="0"/>
                              <w:shd w:val="clear" w:color="auto" w:fill="auto"/>
                              <w:bidi w:val="0"/>
                              <w:spacing w:before="0" w:after="0" w:line="216" w:lineRule="exact"/>
                              <w:ind w:left="199" w:leftChars="83" w:right="0" w:firstLine="0" w:firstLineChars="0"/>
                              <w:jc w:val="left"/>
                              <w:rPr>
                                <w:color w:val="231F20"/>
                                <w:spacing w:val="0"/>
                                <w:w w:val="100"/>
                                <w:position w:val="0"/>
                                <w:shd w:val="clear" w:color="auto" w:fill="auto"/>
                              </w:rPr>
                            </w:pPr>
                          </w:p>
                          <w:p>
                            <w:pPr>
                              <w:pStyle w:val="9"/>
                              <w:keepNext w:val="0"/>
                              <w:keepLines w:val="0"/>
                              <w:widowControl w:val="0"/>
                              <w:shd w:val="clear" w:color="auto" w:fill="auto"/>
                              <w:bidi w:val="0"/>
                              <w:spacing w:before="0" w:after="0" w:line="216" w:lineRule="exact"/>
                              <w:ind w:left="398" w:leftChars="166" w:right="0" w:firstLine="0" w:firstLineChars="0"/>
                              <w:jc w:val="left"/>
                            </w:pPr>
                            <w:r>
                              <w:rPr>
                                <w:color w:val="231F20"/>
                                <w:spacing w:val="0"/>
                                <w:w w:val="100"/>
                                <w:position w:val="0"/>
                                <w:shd w:val="clear" w:color="auto" w:fill="auto"/>
                              </w:rPr>
                              <w:t xml:space="preserve">以土壤图斑为基础 </w:t>
                            </w:r>
                            <w:r>
                              <w:rPr>
                                <w:rFonts w:hint="eastAsia"/>
                                <w:color w:val="231F20"/>
                                <w:spacing w:val="0"/>
                                <w:w w:val="100"/>
                                <w:position w:val="0"/>
                                <w:shd w:val="clear" w:color="auto" w:fill="auto"/>
                                <w:lang w:val="en-US" w:eastAsia="zh-CN"/>
                              </w:rPr>
                              <w:t xml:space="preserve">       </w:t>
                            </w:r>
                            <w:r>
                              <w:rPr>
                                <w:color w:val="231F20"/>
                                <w:spacing w:val="0"/>
                                <w:w w:val="100"/>
                                <w:position w:val="0"/>
                                <w:shd w:val="clear" w:color="auto" w:fill="auto"/>
                              </w:rPr>
                              <w:t>土壤分异先验认识</w:t>
                            </w:r>
                          </w:p>
                        </w:txbxContent>
                      </wps:txbx>
                      <wps:bodyPr lIns="0" tIns="0" rIns="0" bIns="0">
                        <a:noAutofit/>
                      </wps:bodyPr>
                    </wps:wsp>
                  </a:graphicData>
                </a:graphic>
              </wp:anchor>
            </w:drawing>
          </mc:Choice>
          <mc:Fallback>
            <w:pict>
              <v:shape id="Shape 31" o:spid="_x0000_s1026" o:spt="202" type="#_x0000_t202" style="position:absolute;left:0pt;margin-left:107.85pt;margin-top:30.95pt;height:41.95pt;width:118.8pt;mso-position-horizontal-relative:page;mso-wrap-distance-bottom:86.85pt;mso-wrap-distance-top:10.25pt;z-index:251661312;mso-width-relative:page;mso-height-relative:page;" filled="f" stroked="t" coordsize="21600,21600" o:gfxdata="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&#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BjbCvaAAAACgEAAA8AAAAAAAAAAQAgAAAAIgAAAGRy&#10;cy9kb3ducmV2LnhtbFBLAQIUABQAAAAIAIdO4kDlQ4NMygEAALEDAAAOAAAAAAAAAAEAIAAAACkB&#10;AABkcnMvZTJvRG9jLnhtbFBLBQYAAAAABgAGAFkBAABlBQAAAAA=&#10;">
                <v:fill on="f" focussize="0,0"/>
                <v:stroke weight="1pt" color="#000000 [3213]" joinstyle="round"/>
                <v:imagedata o:title=""/>
                <o:lock v:ext="edit" aspectratio="f"/>
                <v:textbox inset="0mm,0mm,0mm,0mm">
                  <w:txbxContent>
                    <w:p>
                      <w:pPr>
                        <w:pStyle w:val="9"/>
                        <w:keepNext w:val="0"/>
                        <w:keepLines w:val="0"/>
                        <w:widowControl w:val="0"/>
                        <w:shd w:val="clear" w:color="auto" w:fill="auto"/>
                        <w:bidi w:val="0"/>
                        <w:spacing w:before="0" w:after="0" w:line="216" w:lineRule="exact"/>
                        <w:ind w:left="199" w:leftChars="83" w:right="0" w:firstLine="0" w:firstLineChars="0"/>
                        <w:jc w:val="left"/>
                        <w:rPr>
                          <w:color w:val="231F20"/>
                          <w:spacing w:val="0"/>
                          <w:w w:val="100"/>
                          <w:position w:val="0"/>
                          <w:shd w:val="clear" w:color="auto" w:fill="auto"/>
                        </w:rPr>
                      </w:pPr>
                    </w:p>
                    <w:p>
                      <w:pPr>
                        <w:pStyle w:val="9"/>
                        <w:keepNext w:val="0"/>
                        <w:keepLines w:val="0"/>
                        <w:widowControl w:val="0"/>
                        <w:shd w:val="clear" w:color="auto" w:fill="auto"/>
                        <w:bidi w:val="0"/>
                        <w:spacing w:before="0" w:after="0" w:line="216" w:lineRule="exact"/>
                        <w:ind w:left="398" w:leftChars="166" w:right="0" w:firstLine="0" w:firstLineChars="0"/>
                        <w:jc w:val="left"/>
                      </w:pPr>
                      <w:r>
                        <w:rPr>
                          <w:color w:val="231F20"/>
                          <w:spacing w:val="0"/>
                          <w:w w:val="100"/>
                          <w:position w:val="0"/>
                          <w:shd w:val="clear" w:color="auto" w:fill="auto"/>
                        </w:rPr>
                        <w:t xml:space="preserve">以土壤图斑为基础 </w:t>
                      </w:r>
                      <w:r>
                        <w:rPr>
                          <w:rFonts w:hint="eastAsia"/>
                          <w:color w:val="231F20"/>
                          <w:spacing w:val="0"/>
                          <w:w w:val="100"/>
                          <w:position w:val="0"/>
                          <w:shd w:val="clear" w:color="auto" w:fill="auto"/>
                          <w:lang w:val="en-US" w:eastAsia="zh-CN"/>
                        </w:rPr>
                        <w:t xml:space="preserve">       </w:t>
                      </w:r>
                      <w:r>
                        <w:rPr>
                          <w:color w:val="231F20"/>
                          <w:spacing w:val="0"/>
                          <w:w w:val="100"/>
                          <w:position w:val="0"/>
                          <w:shd w:val="clear" w:color="auto" w:fill="auto"/>
                        </w:rPr>
                        <w:t>土壤分异先验认识</w:t>
                      </w:r>
                    </w:p>
                  </w:txbxContent>
                </v:textbox>
                <w10:wrap type="topAndBottom"/>
              </v:shape>
            </w:pict>
          </mc:Fallback>
        </mc:AlternateContent>
      </w:r>
      <w:r>
        <mc:AlternateContent>
          <mc:Choice Requires="wps">
            <w:drawing>
              <wp:anchor distT="1209040" distB="24130" distL="0" distR="0" simplePos="0" relativeHeight="251661312" behindDoc="0" locked="0" layoutInCell="1" allowOverlap="1">
                <wp:simplePos x="0" y="0"/>
                <wp:positionH relativeFrom="page">
                  <wp:posOffset>4961890</wp:posOffset>
                </wp:positionH>
                <wp:positionV relativeFrom="paragraph">
                  <wp:posOffset>1326515</wp:posOffset>
                </wp:positionV>
                <wp:extent cx="1593215" cy="565150"/>
                <wp:effectExtent l="6350" t="6350" r="15875" b="7620"/>
                <wp:wrapTopAndBottom/>
                <wp:docPr id="39" name="Shape 39"/>
                <wp:cNvGraphicFramePr/>
                <a:graphic xmlns:a="http://schemas.openxmlformats.org/drawingml/2006/main">
                  <a:graphicData uri="http://schemas.microsoft.com/office/word/2010/wordprocessingShape">
                    <wps:wsp>
                      <wps:cNvSpPr txBox="1"/>
                      <wps:spPr>
                        <a:xfrm>
                          <a:off x="0" y="0"/>
                          <a:ext cx="1593215" cy="565150"/>
                        </a:xfrm>
                        <a:prstGeom prst="rect">
                          <a:avLst/>
                        </a:prstGeom>
                        <a:noFill/>
                        <a:ln w="12700">
                          <a:solidFill>
                            <a:schemeClr val="tx1"/>
                          </a:solidFill>
                        </a:ln>
                      </wps:spPr>
                      <wps:txbx>
                        <w:txbxContent>
                          <w:p>
                            <w:pPr>
                              <w:pStyle w:val="9"/>
                              <w:keepNext w:val="0"/>
                              <w:keepLines w:val="0"/>
                              <w:widowControl w:val="0"/>
                              <w:shd w:val="clear" w:color="auto" w:fill="auto"/>
                              <w:bidi w:val="0"/>
                              <w:spacing w:before="0" w:after="0" w:line="216" w:lineRule="exact"/>
                              <w:ind w:left="0" w:right="0" w:firstLine="0"/>
                              <w:jc w:val="left"/>
                              <w:rPr>
                                <w:color w:val="231F20"/>
                                <w:spacing w:val="0"/>
                                <w:w w:val="100"/>
                                <w:position w:val="0"/>
                                <w:shd w:val="clear" w:color="auto" w:fill="auto"/>
                              </w:rPr>
                            </w:pPr>
                          </w:p>
                          <w:p>
                            <w:pPr>
                              <w:pStyle w:val="9"/>
                              <w:keepNext w:val="0"/>
                              <w:keepLines w:val="0"/>
                              <w:widowControl w:val="0"/>
                              <w:shd w:val="clear" w:color="auto" w:fill="auto"/>
                              <w:bidi w:val="0"/>
                              <w:spacing w:before="0" w:after="0" w:line="216" w:lineRule="exact"/>
                              <w:ind w:left="0" w:right="0" w:firstLine="600" w:firstLineChars="300"/>
                              <w:jc w:val="left"/>
                              <w:rPr>
                                <w:color w:val="231F20"/>
                                <w:spacing w:val="0"/>
                                <w:w w:val="100"/>
                                <w:position w:val="0"/>
                                <w:shd w:val="clear" w:color="auto" w:fill="auto"/>
                              </w:rPr>
                            </w:pPr>
                            <w:r>
                              <w:rPr>
                                <w:color w:val="231F20"/>
                                <w:spacing w:val="0"/>
                                <w:w w:val="100"/>
                                <w:position w:val="0"/>
                                <w:shd w:val="clear" w:color="auto" w:fill="auto"/>
                              </w:rPr>
                              <w:t xml:space="preserve">主体上典型布点 </w:t>
                            </w:r>
                          </w:p>
                          <w:p>
                            <w:pPr>
                              <w:pStyle w:val="9"/>
                              <w:keepNext w:val="0"/>
                              <w:keepLines w:val="0"/>
                              <w:widowControl w:val="0"/>
                              <w:shd w:val="clear" w:color="auto" w:fill="auto"/>
                              <w:bidi w:val="0"/>
                              <w:spacing w:before="0" w:after="0" w:line="216" w:lineRule="exact"/>
                              <w:ind w:left="0" w:right="0" w:firstLine="600" w:firstLineChars="300"/>
                              <w:jc w:val="left"/>
                            </w:pPr>
                            <w:r>
                              <w:rPr>
                                <w:color w:val="231F20"/>
                                <w:spacing w:val="0"/>
                                <w:w w:val="100"/>
                                <w:position w:val="0"/>
                                <w:shd w:val="clear" w:color="auto" w:fill="auto"/>
                              </w:rPr>
                              <w:t>类型变化区加点</w:t>
                            </w:r>
                          </w:p>
                        </w:txbxContent>
                      </wps:txbx>
                      <wps:bodyPr lIns="0" tIns="0" rIns="0" bIns="0">
                        <a:noAutofit/>
                      </wps:bodyPr>
                    </wps:wsp>
                  </a:graphicData>
                </a:graphic>
              </wp:anchor>
            </w:drawing>
          </mc:Choice>
          <mc:Fallback>
            <w:pict>
              <v:shape id="Shape 39" o:spid="_x0000_s1026" o:spt="202" type="#_x0000_t202" style="position:absolute;left:0pt;margin-left:390.7pt;margin-top:104.45pt;height:44.5pt;width:125.45pt;mso-position-horizontal-relative:page;mso-wrap-distance-bottom:1.9pt;mso-wrap-distance-top:95.2pt;z-index:251661312;mso-width-relative:page;mso-height-relative:page;" filled="f" stroked="t" coordsize="21600,21600" o:gfxdata="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wTvKLbAAAADAEAAA8AAAAAAAAAAQAgAAAAIgAA&#10;AGRycy9kb3ducmV2LnhtbFBLAQIUABQAAAAIAIdO4kBLpFnNzAEAALEDAAAOAAAAAAAAAAEAIAAA&#10;ACoBAABkcnMvZTJvRG9jLnhtbFBLBQYAAAAABgAGAFkBAABoBQAAAAA=&#10;">
                <v:fill on="f" focussize="0,0"/>
                <v:stroke weight="1pt" color="#000000 [3213]" joinstyle="round"/>
                <v:imagedata o:title=""/>
                <o:lock v:ext="edit" aspectratio="f"/>
                <v:textbox inset="0mm,0mm,0mm,0mm">
                  <w:txbxContent>
                    <w:p>
                      <w:pPr>
                        <w:pStyle w:val="9"/>
                        <w:keepNext w:val="0"/>
                        <w:keepLines w:val="0"/>
                        <w:widowControl w:val="0"/>
                        <w:shd w:val="clear" w:color="auto" w:fill="auto"/>
                        <w:bidi w:val="0"/>
                        <w:spacing w:before="0" w:after="0" w:line="216" w:lineRule="exact"/>
                        <w:ind w:left="0" w:right="0" w:firstLine="0"/>
                        <w:jc w:val="left"/>
                        <w:rPr>
                          <w:color w:val="231F20"/>
                          <w:spacing w:val="0"/>
                          <w:w w:val="100"/>
                          <w:position w:val="0"/>
                          <w:shd w:val="clear" w:color="auto" w:fill="auto"/>
                        </w:rPr>
                      </w:pPr>
                    </w:p>
                    <w:p>
                      <w:pPr>
                        <w:pStyle w:val="9"/>
                        <w:keepNext w:val="0"/>
                        <w:keepLines w:val="0"/>
                        <w:widowControl w:val="0"/>
                        <w:shd w:val="clear" w:color="auto" w:fill="auto"/>
                        <w:bidi w:val="0"/>
                        <w:spacing w:before="0" w:after="0" w:line="216" w:lineRule="exact"/>
                        <w:ind w:left="0" w:right="0" w:firstLine="600" w:firstLineChars="300"/>
                        <w:jc w:val="left"/>
                        <w:rPr>
                          <w:color w:val="231F20"/>
                          <w:spacing w:val="0"/>
                          <w:w w:val="100"/>
                          <w:position w:val="0"/>
                          <w:shd w:val="clear" w:color="auto" w:fill="auto"/>
                        </w:rPr>
                      </w:pPr>
                      <w:r>
                        <w:rPr>
                          <w:color w:val="231F20"/>
                          <w:spacing w:val="0"/>
                          <w:w w:val="100"/>
                          <w:position w:val="0"/>
                          <w:shd w:val="clear" w:color="auto" w:fill="auto"/>
                        </w:rPr>
                        <w:t xml:space="preserve">主体上典型布点 </w:t>
                      </w:r>
                    </w:p>
                    <w:p>
                      <w:pPr>
                        <w:pStyle w:val="9"/>
                        <w:keepNext w:val="0"/>
                        <w:keepLines w:val="0"/>
                        <w:widowControl w:val="0"/>
                        <w:shd w:val="clear" w:color="auto" w:fill="auto"/>
                        <w:bidi w:val="0"/>
                        <w:spacing w:before="0" w:after="0" w:line="216" w:lineRule="exact"/>
                        <w:ind w:left="0" w:right="0" w:firstLine="600" w:firstLineChars="300"/>
                        <w:jc w:val="left"/>
                      </w:pPr>
                      <w:r>
                        <w:rPr>
                          <w:color w:val="231F20"/>
                          <w:spacing w:val="0"/>
                          <w:w w:val="100"/>
                          <w:position w:val="0"/>
                          <w:shd w:val="clear" w:color="auto" w:fill="auto"/>
                        </w:rPr>
                        <w:t>类型变化区加点</w:t>
                      </w:r>
                    </w:p>
                  </w:txbxContent>
                </v:textbox>
                <w10:wrap type="topAndBottom"/>
              </v:shape>
            </w:pict>
          </mc:Fallback>
        </mc:AlternateContent>
      </w:r>
      <w:r>
        <mc:AlternateContent>
          <mc:Choice Requires="wps">
            <w:drawing>
              <wp:anchor distT="127000" distB="1102995" distL="0" distR="0" simplePos="0" relativeHeight="251661312" behindDoc="0" locked="0" layoutInCell="1" allowOverlap="1">
                <wp:simplePos x="0" y="0"/>
                <wp:positionH relativeFrom="page">
                  <wp:posOffset>4961255</wp:posOffset>
                </wp:positionH>
                <wp:positionV relativeFrom="paragraph">
                  <wp:posOffset>338455</wp:posOffset>
                </wp:positionV>
                <wp:extent cx="1537970" cy="548640"/>
                <wp:effectExtent l="6350" t="6350" r="10160" b="8890"/>
                <wp:wrapTopAndBottom/>
                <wp:docPr id="37" name="Shape 37"/>
                <wp:cNvGraphicFramePr/>
                <a:graphic xmlns:a="http://schemas.openxmlformats.org/drawingml/2006/main">
                  <a:graphicData uri="http://schemas.microsoft.com/office/word/2010/wordprocessingShape">
                    <wps:wsp>
                      <wps:cNvSpPr txBox="1"/>
                      <wps:spPr>
                        <a:xfrm>
                          <a:off x="0" y="0"/>
                          <a:ext cx="1537970" cy="548640"/>
                        </a:xfrm>
                        <a:prstGeom prst="rect">
                          <a:avLst/>
                        </a:prstGeom>
                        <a:noFill/>
                        <a:ln w="12700">
                          <a:solidFill>
                            <a:schemeClr val="tx1"/>
                          </a:solidFill>
                        </a:ln>
                      </wps:spPr>
                      <wps:txbx>
                        <w:txbxContent>
                          <w:p>
                            <w:pPr>
                              <w:pStyle w:val="9"/>
                              <w:keepNext w:val="0"/>
                              <w:keepLines w:val="0"/>
                              <w:widowControl w:val="0"/>
                              <w:shd w:val="clear" w:color="auto" w:fill="auto"/>
                              <w:bidi w:val="0"/>
                              <w:spacing w:before="0" w:after="0" w:line="221" w:lineRule="exact"/>
                              <w:ind w:left="0" w:right="0" w:firstLine="0"/>
                              <w:jc w:val="center"/>
                              <w:rPr>
                                <w:color w:val="231F20"/>
                                <w:spacing w:val="0"/>
                                <w:w w:val="100"/>
                                <w:position w:val="0"/>
                                <w:shd w:val="clear" w:color="auto" w:fill="auto"/>
                              </w:rPr>
                            </w:pPr>
                          </w:p>
                          <w:p>
                            <w:pPr>
                              <w:pStyle w:val="9"/>
                              <w:keepNext w:val="0"/>
                              <w:keepLines w:val="0"/>
                              <w:widowControl w:val="0"/>
                              <w:shd w:val="clear" w:color="auto" w:fill="auto"/>
                              <w:bidi w:val="0"/>
                              <w:spacing w:before="0" w:after="0" w:line="221" w:lineRule="exact"/>
                              <w:ind w:left="0" w:right="0" w:firstLine="0"/>
                              <w:jc w:val="center"/>
                            </w:pPr>
                            <w:r>
                              <w:rPr>
                                <w:color w:val="231F20"/>
                                <w:spacing w:val="0"/>
                                <w:w w:val="100"/>
                                <w:position w:val="0"/>
                                <w:shd w:val="clear" w:color="auto" w:fill="auto"/>
                              </w:rPr>
                              <w:t>宏观和局地代表性</w:t>
                            </w:r>
                            <w:r>
                              <w:rPr>
                                <w:color w:val="231F20"/>
                                <w:spacing w:val="0"/>
                                <w:w w:val="100"/>
                                <w:position w:val="0"/>
                                <w:shd w:val="clear" w:color="auto" w:fill="auto"/>
                              </w:rPr>
                              <w:br w:type="textWrapping"/>
                            </w:r>
                            <w:r>
                              <w:rPr>
                                <w:color w:val="231F20"/>
                                <w:spacing w:val="0"/>
                                <w:w w:val="100"/>
                                <w:position w:val="0"/>
                                <w:shd w:val="clear" w:color="auto" w:fill="auto"/>
                              </w:rPr>
                              <w:t>多尺度土壤分异</w:t>
                            </w:r>
                          </w:p>
                        </w:txbxContent>
                      </wps:txbx>
                      <wps:bodyPr lIns="0" tIns="0" rIns="0" bIns="0">
                        <a:noAutofit/>
                      </wps:bodyPr>
                    </wps:wsp>
                  </a:graphicData>
                </a:graphic>
              </wp:anchor>
            </w:drawing>
          </mc:Choice>
          <mc:Fallback>
            <w:pict>
              <v:shape id="Shape 37" o:spid="_x0000_s1026" o:spt="202" type="#_x0000_t202" style="position:absolute;left:0pt;margin-left:390.65pt;margin-top:26.65pt;height:43.2pt;width:121.1pt;mso-position-horizontal-relative:page;mso-wrap-distance-bottom:86.85pt;mso-wrap-distance-top:10pt;z-index:251661312;mso-width-relative:page;mso-height-relative:page;" filled="f" stroked="t" coordsize="21600,21600" o:gfxdata="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51gj9oAAAALAQAADwAAAAAAAAABACAAAAAiAAAA&#10;ZHJzL2Rvd25yZXYueG1sUEsBAhQAFAAAAAgAh07iQAm1ALjMAQAAsQMAAA4AAAAAAAAAAQAgAAAA&#10;KQEAAGRycy9lMm9Eb2MueG1sUEsFBgAAAAAGAAYAWQEAAGcFAAAAAA==&#10;">
                <v:fill on="f" focussize="0,0"/>
                <v:stroke weight="1pt" color="#000000 [3213]" joinstyle="round"/>
                <v:imagedata o:title=""/>
                <o:lock v:ext="edit" aspectratio="f"/>
                <v:textbox inset="0mm,0mm,0mm,0mm">
                  <w:txbxContent>
                    <w:p>
                      <w:pPr>
                        <w:pStyle w:val="9"/>
                        <w:keepNext w:val="0"/>
                        <w:keepLines w:val="0"/>
                        <w:widowControl w:val="0"/>
                        <w:shd w:val="clear" w:color="auto" w:fill="auto"/>
                        <w:bidi w:val="0"/>
                        <w:spacing w:before="0" w:after="0" w:line="221" w:lineRule="exact"/>
                        <w:ind w:left="0" w:right="0" w:firstLine="0"/>
                        <w:jc w:val="center"/>
                        <w:rPr>
                          <w:color w:val="231F20"/>
                          <w:spacing w:val="0"/>
                          <w:w w:val="100"/>
                          <w:position w:val="0"/>
                          <w:shd w:val="clear" w:color="auto" w:fill="auto"/>
                        </w:rPr>
                      </w:pPr>
                    </w:p>
                    <w:p>
                      <w:pPr>
                        <w:pStyle w:val="9"/>
                        <w:keepNext w:val="0"/>
                        <w:keepLines w:val="0"/>
                        <w:widowControl w:val="0"/>
                        <w:shd w:val="clear" w:color="auto" w:fill="auto"/>
                        <w:bidi w:val="0"/>
                        <w:spacing w:before="0" w:after="0" w:line="221" w:lineRule="exact"/>
                        <w:ind w:left="0" w:right="0" w:firstLine="0"/>
                        <w:jc w:val="center"/>
                      </w:pPr>
                      <w:r>
                        <w:rPr>
                          <w:color w:val="231F20"/>
                          <w:spacing w:val="0"/>
                          <w:w w:val="100"/>
                          <w:position w:val="0"/>
                          <w:shd w:val="clear" w:color="auto" w:fill="auto"/>
                        </w:rPr>
                        <w:t>宏观和局地代表性</w:t>
                      </w:r>
                      <w:r>
                        <w:rPr>
                          <w:color w:val="231F20"/>
                          <w:spacing w:val="0"/>
                          <w:w w:val="100"/>
                          <w:position w:val="0"/>
                          <w:shd w:val="clear" w:color="auto" w:fill="auto"/>
                        </w:rPr>
                        <w:br w:type="textWrapping"/>
                      </w:r>
                      <w:r>
                        <w:rPr>
                          <w:color w:val="231F20"/>
                          <w:spacing w:val="0"/>
                          <w:w w:val="100"/>
                          <w:position w:val="0"/>
                          <w:shd w:val="clear" w:color="auto" w:fill="auto"/>
                        </w:rPr>
                        <w:t>多尺度土壤分异</w:t>
                      </w:r>
                    </w:p>
                  </w:txbxContent>
                </v:textbox>
                <w10:wrap type="topAndBottom"/>
              </v:shape>
            </w:pict>
          </mc:Fallback>
        </mc:AlternateContent>
      </w:r>
    </w:p>
    <w:p>
      <w:pPr>
        <w:pStyle w:val="29"/>
        <w:keepNext w:val="0"/>
        <w:keepLines w:val="0"/>
        <w:widowControl w:val="0"/>
        <w:shd w:val="clear" w:color="auto" w:fill="auto"/>
        <w:bidi w:val="0"/>
        <w:spacing w:before="0" w:after="140" w:line="240" w:lineRule="auto"/>
        <w:ind w:left="0" w:right="0" w:firstLine="0"/>
        <w:jc w:val="center"/>
        <w:rPr>
          <w:b/>
          <w:bCs/>
          <w:color w:val="000000"/>
          <w:spacing w:val="0"/>
          <w:w w:val="100"/>
          <w:position w:val="0"/>
          <w:shd w:val="clear" w:color="auto" w:fill="auto"/>
        </w:rPr>
      </w:pPr>
    </w:p>
    <w:p>
      <w:pPr>
        <w:pStyle w:val="29"/>
        <w:keepNext w:val="0"/>
        <w:keepLines w:val="0"/>
        <w:widowControl w:val="0"/>
        <w:shd w:val="clear" w:color="auto" w:fill="auto"/>
        <w:bidi w:val="0"/>
        <w:spacing w:before="0" w:after="140" w:line="240" w:lineRule="auto"/>
        <w:ind w:left="0" w:right="0" w:firstLine="0"/>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color w:val="000000"/>
          <w:spacing w:val="0"/>
          <w:w w:val="100"/>
          <w:position w:val="0"/>
          <w:sz w:val="18"/>
          <w:szCs w:val="18"/>
          <w:shd w:val="clear" w:color="auto" w:fill="auto"/>
        </w:rPr>
        <w:t>图2 剖面样点预布设的总体思路</w:t>
      </w:r>
    </w:p>
    <w:p>
      <w:pPr>
        <w:pStyle w:val="21"/>
        <w:keepNext/>
        <w:keepLines/>
        <w:widowControl w:val="0"/>
        <w:numPr>
          <w:ilvl w:val="0"/>
          <w:numId w:val="0"/>
        </w:numPr>
        <w:shd w:val="clear" w:color="auto" w:fill="auto"/>
        <w:tabs>
          <w:tab w:val="left" w:pos="849"/>
        </w:tabs>
        <w:bidi w:val="0"/>
        <w:spacing w:before="0" w:after="0" w:line="314" w:lineRule="exact"/>
        <w:ind w:leftChars="0" w:right="0" w:rightChars="0"/>
        <w:jc w:val="left"/>
        <w:rPr>
          <w:rFonts w:hint="eastAsia" w:asciiTheme="majorEastAsia" w:hAnsiTheme="majorEastAsia" w:eastAsiaTheme="majorEastAsia" w:cstheme="majorEastAsia"/>
          <w:color w:val="000000"/>
          <w:spacing w:val="0"/>
          <w:w w:val="100"/>
          <w:position w:val="0"/>
          <w:sz w:val="24"/>
          <w:szCs w:val="24"/>
          <w:shd w:val="clear" w:color="auto" w:fill="auto"/>
          <w:lang w:val="en-US" w:eastAsia="zh-CN"/>
          <w14:textOutline w14:w="6350">
            <w14:solidFill>
              <w14:schemeClr w14:val="accent1"/>
            </w14:solidFill>
            <w14:round/>
          </w14:textOutline>
        </w:rPr>
      </w:pPr>
      <w:bookmarkStart w:id="14" w:name="bookmark31"/>
    </w:p>
    <w:p>
      <w:pPr>
        <w:pStyle w:val="21"/>
        <w:keepNext/>
        <w:keepLines/>
        <w:widowControl w:val="0"/>
        <w:numPr>
          <w:ilvl w:val="0"/>
          <w:numId w:val="0"/>
        </w:numPr>
        <w:shd w:val="clear" w:color="auto" w:fill="auto"/>
        <w:tabs>
          <w:tab w:val="left" w:pos="849"/>
        </w:tabs>
        <w:bidi w:val="0"/>
        <w:spacing w:before="0" w:after="0" w:line="314" w:lineRule="exact"/>
        <w:ind w:leftChars="0" w:right="0" w:rightChars="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color w:val="000000"/>
          <w:spacing w:val="0"/>
          <w:w w:val="100"/>
          <w:position w:val="0"/>
          <w:sz w:val="24"/>
          <w:szCs w:val="24"/>
          <w:shd w:val="clear" w:color="auto" w:fill="auto"/>
          <w:lang w:val="en-US" w:eastAsia="zh-CN"/>
        </w:rPr>
        <w:t xml:space="preserve">4.3.3  </w:t>
      </w:r>
      <w:r>
        <w:rPr>
          <w:rFonts w:hint="eastAsia" w:asciiTheme="majorEastAsia" w:hAnsiTheme="majorEastAsia" w:eastAsiaTheme="majorEastAsia" w:cstheme="majorEastAsia"/>
          <w:color w:val="000000"/>
          <w:spacing w:val="0"/>
          <w:w w:val="100"/>
          <w:position w:val="0"/>
          <w:sz w:val="24"/>
          <w:szCs w:val="24"/>
          <w:shd w:val="clear" w:color="auto" w:fill="auto"/>
        </w:rPr>
        <w:t>工作底图的建立</w:t>
      </w:r>
      <w:bookmarkEnd w:id="14"/>
    </w:p>
    <w:p>
      <w:pPr>
        <w:pStyle w:val="9"/>
        <w:keepNext w:val="0"/>
        <w:keepLines w:val="0"/>
        <w:widowControl w:val="0"/>
        <w:numPr>
          <w:ilvl w:val="0"/>
          <w:numId w:val="0"/>
        </w:numPr>
        <w:shd w:val="clear" w:color="auto" w:fill="auto"/>
        <w:tabs>
          <w:tab w:val="left" w:pos="918"/>
        </w:tabs>
        <w:bidi w:val="0"/>
        <w:spacing w:before="0" w:after="0" w:line="314" w:lineRule="exact"/>
        <w:ind w:left="440" w:leftChars="0" w:right="0" w:rightChars="0"/>
        <w:jc w:val="both"/>
        <w:rPr>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color w:val="000000"/>
          <w:spacing w:val="0"/>
          <w:w w:val="100"/>
          <w:position w:val="0"/>
          <w:sz w:val="24"/>
          <w:szCs w:val="24"/>
          <w:shd w:val="clear" w:color="auto" w:fill="auto"/>
        </w:rPr>
        <w:t>处理土地利用图层。</w:t>
      </w:r>
    </w:p>
    <w:p>
      <w:pPr>
        <w:pStyle w:val="9"/>
        <w:keepNext w:val="0"/>
        <w:keepLines w:val="0"/>
        <w:widowControl w:val="0"/>
        <w:shd w:val="clear" w:color="auto" w:fill="auto"/>
        <w:bidi w:val="0"/>
        <w:spacing w:before="0" w:after="0" w:line="314" w:lineRule="exact"/>
        <w:ind w:left="0" w:right="0" w:firstLine="440"/>
        <w:jc w:val="both"/>
        <w:rPr>
          <w:sz w:val="24"/>
          <w:szCs w:val="24"/>
        </w:rPr>
      </w:pPr>
      <w:r>
        <w:rPr>
          <w:color w:val="000000"/>
          <w:spacing w:val="0"/>
          <w:w w:val="100"/>
          <w:position w:val="0"/>
          <w:sz w:val="24"/>
          <w:szCs w:val="24"/>
          <w:shd w:val="clear" w:color="auto" w:fill="auto"/>
        </w:rPr>
        <w:t>根据剖面布点需要，对国土三调地类图斑进行重新分类整理，分为水田、旱地、园地、草地、林地和不布点区域(河流、居民地、冰川、道路、水库水面、坑塘水面、沟和渠等)，利用矢量转栅格工具转换成栅格图层。</w:t>
      </w:r>
    </w:p>
    <w:p>
      <w:pPr>
        <w:pStyle w:val="9"/>
        <w:keepNext w:val="0"/>
        <w:keepLines w:val="0"/>
        <w:widowControl w:val="0"/>
        <w:numPr>
          <w:ilvl w:val="0"/>
          <w:numId w:val="0"/>
        </w:numPr>
        <w:shd w:val="clear" w:color="auto" w:fill="auto"/>
        <w:tabs>
          <w:tab w:val="left" w:pos="918"/>
        </w:tabs>
        <w:bidi w:val="0"/>
        <w:spacing w:before="0" w:after="0" w:line="314" w:lineRule="exact"/>
        <w:ind w:left="440" w:leftChars="0" w:right="0" w:rightChars="0"/>
        <w:jc w:val="both"/>
        <w:rPr>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2</w:t>
      </w: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color w:val="000000"/>
          <w:spacing w:val="0"/>
          <w:w w:val="100"/>
          <w:position w:val="0"/>
          <w:sz w:val="24"/>
          <w:szCs w:val="24"/>
          <w:shd w:val="clear" w:color="auto" w:fill="auto"/>
        </w:rPr>
        <w:t>处理二普土壤图。</w:t>
      </w:r>
    </w:p>
    <w:p>
      <w:pPr>
        <w:pStyle w:val="9"/>
        <w:keepNext w:val="0"/>
        <w:keepLines w:val="0"/>
        <w:widowControl w:val="0"/>
        <w:shd w:val="clear" w:color="auto" w:fill="auto"/>
        <w:bidi w:val="0"/>
        <w:spacing w:before="0" w:after="0" w:line="314" w:lineRule="exact"/>
        <w:ind w:left="0" w:right="0" w:firstLine="440"/>
        <w:jc w:val="both"/>
        <w:rPr>
          <w:sz w:val="24"/>
          <w:szCs w:val="24"/>
        </w:rPr>
      </w:pPr>
      <w:r>
        <w:rPr>
          <w:color w:val="000000"/>
          <w:spacing w:val="0"/>
          <w:w w:val="100"/>
          <w:position w:val="0"/>
          <w:sz w:val="24"/>
          <w:szCs w:val="24"/>
          <w:shd w:val="clear" w:color="auto" w:fill="auto"/>
        </w:rPr>
        <w:t>有土种图时，建立土类</w:t>
      </w:r>
      <w:r>
        <w:rPr>
          <w:rFonts w:hint="eastAsia"/>
          <w:color w:val="000000"/>
          <w:spacing w:val="0"/>
          <w:w w:val="100"/>
          <w:position w:val="0"/>
          <w:sz w:val="24"/>
          <w:szCs w:val="24"/>
          <w:shd w:val="clear" w:color="auto" w:fill="auto"/>
          <w:lang w:val="en-US" w:eastAsia="zh-CN"/>
        </w:rPr>
        <w:t>—</w:t>
      </w:r>
      <w:r>
        <w:rPr>
          <w:color w:val="000000"/>
          <w:spacing w:val="0"/>
          <w:w w:val="100"/>
          <w:position w:val="0"/>
          <w:sz w:val="24"/>
          <w:szCs w:val="24"/>
          <w:shd w:val="clear" w:color="auto" w:fill="auto"/>
        </w:rPr>
        <w:t>亚类</w:t>
      </w:r>
      <w:r>
        <w:rPr>
          <w:rFonts w:hint="eastAsia"/>
          <w:color w:val="000000"/>
          <w:spacing w:val="0"/>
          <w:w w:val="100"/>
          <w:position w:val="0"/>
          <w:sz w:val="24"/>
          <w:szCs w:val="24"/>
          <w:shd w:val="clear" w:color="auto" w:fill="auto"/>
          <w:lang w:val="en-US" w:eastAsia="zh-CN"/>
        </w:rPr>
        <w:t>—</w:t>
      </w:r>
      <w:r>
        <w:rPr>
          <w:color w:val="000000"/>
          <w:spacing w:val="0"/>
          <w:w w:val="100"/>
          <w:position w:val="0"/>
          <w:sz w:val="24"/>
          <w:szCs w:val="24"/>
          <w:shd w:val="clear" w:color="auto" w:fill="auto"/>
        </w:rPr>
        <w:t>土属</w:t>
      </w:r>
      <w:r>
        <w:rPr>
          <w:rFonts w:hint="eastAsia"/>
          <w:color w:val="000000"/>
          <w:spacing w:val="0"/>
          <w:w w:val="100"/>
          <w:position w:val="0"/>
          <w:sz w:val="24"/>
          <w:szCs w:val="24"/>
          <w:shd w:val="clear" w:color="auto" w:fill="auto"/>
          <w:lang w:val="en-US" w:eastAsia="zh-CN"/>
        </w:rPr>
        <w:t>—</w:t>
      </w:r>
      <w:r>
        <w:rPr>
          <w:color w:val="000000"/>
          <w:spacing w:val="0"/>
          <w:w w:val="100"/>
          <w:position w:val="0"/>
          <w:sz w:val="24"/>
          <w:szCs w:val="24"/>
          <w:shd w:val="clear" w:color="auto" w:fill="auto"/>
        </w:rPr>
        <w:t>土种序号，作为唯一标识；若无土种图，根据土种的概念，利用关键成土因素(母质、地形等)对土属或亚类图斑进行分解，得到“土种”，建立土类</w:t>
      </w:r>
      <w:r>
        <w:rPr>
          <w:rFonts w:hint="eastAsia"/>
          <w:color w:val="000000"/>
          <w:spacing w:val="0"/>
          <w:w w:val="100"/>
          <w:position w:val="0"/>
          <w:sz w:val="24"/>
          <w:szCs w:val="24"/>
          <w:shd w:val="clear" w:color="auto" w:fill="auto"/>
          <w:lang w:val="en-US" w:eastAsia="zh-CN"/>
        </w:rPr>
        <w:t>—</w:t>
      </w:r>
      <w:r>
        <w:rPr>
          <w:color w:val="000000"/>
          <w:spacing w:val="0"/>
          <w:w w:val="100"/>
          <w:position w:val="0"/>
          <w:sz w:val="24"/>
          <w:szCs w:val="24"/>
          <w:shd w:val="clear" w:color="auto" w:fill="auto"/>
        </w:rPr>
        <w:t>亚类</w:t>
      </w:r>
      <w:r>
        <w:rPr>
          <w:rFonts w:hint="eastAsia"/>
          <w:color w:val="000000"/>
          <w:spacing w:val="0"/>
          <w:w w:val="100"/>
          <w:position w:val="0"/>
          <w:sz w:val="24"/>
          <w:szCs w:val="24"/>
          <w:shd w:val="clear" w:color="auto" w:fill="auto"/>
          <w:lang w:val="en-US" w:eastAsia="zh-CN"/>
        </w:rPr>
        <w:t>—</w:t>
      </w:r>
      <w:r>
        <w:rPr>
          <w:color w:val="000000"/>
          <w:spacing w:val="0"/>
          <w:w w:val="100"/>
          <w:position w:val="0"/>
          <w:sz w:val="24"/>
          <w:szCs w:val="24"/>
          <w:shd w:val="clear" w:color="auto" w:fill="auto"/>
        </w:rPr>
        <w:t>土属</w:t>
      </w:r>
      <w:r>
        <w:rPr>
          <w:rFonts w:hint="eastAsia"/>
          <w:color w:val="000000"/>
          <w:spacing w:val="0"/>
          <w:w w:val="100"/>
          <w:position w:val="0"/>
          <w:sz w:val="24"/>
          <w:szCs w:val="24"/>
          <w:shd w:val="clear" w:color="auto" w:fill="auto"/>
          <w:lang w:val="en-US" w:eastAsia="zh-CN"/>
        </w:rPr>
        <w:t>—</w:t>
      </w:r>
      <w:r>
        <w:rPr>
          <w:color w:val="000000"/>
          <w:spacing w:val="0"/>
          <w:w w:val="100"/>
          <w:position w:val="0"/>
          <w:sz w:val="24"/>
          <w:szCs w:val="24"/>
          <w:shd w:val="clear" w:color="auto" w:fill="auto"/>
        </w:rPr>
        <w:t>母质</w:t>
      </w:r>
      <w:r>
        <w:rPr>
          <w:i/>
          <w:iCs/>
          <w:color w:val="000000"/>
          <w:spacing w:val="0"/>
          <w:w w:val="100"/>
          <w:position w:val="0"/>
          <w:sz w:val="24"/>
          <w:szCs w:val="24"/>
          <w:shd w:val="clear" w:color="auto" w:fill="auto"/>
        </w:rPr>
        <w:t>(</w:t>
      </w:r>
      <w:r>
        <w:rPr>
          <w:color w:val="000000"/>
          <w:spacing w:val="0"/>
          <w:w w:val="100"/>
          <w:position w:val="0"/>
          <w:sz w:val="24"/>
          <w:szCs w:val="24"/>
          <w:shd w:val="clear" w:color="auto" w:fill="auto"/>
        </w:rPr>
        <w:t>地形地貌)，作为唯一标识。</w:t>
      </w:r>
    </w:p>
    <w:p>
      <w:pPr>
        <w:pStyle w:val="9"/>
        <w:keepNext w:val="0"/>
        <w:keepLines w:val="0"/>
        <w:widowControl w:val="0"/>
        <w:numPr>
          <w:ilvl w:val="0"/>
          <w:numId w:val="0"/>
        </w:numPr>
        <w:shd w:val="clear" w:color="auto" w:fill="auto"/>
        <w:tabs>
          <w:tab w:val="left" w:pos="918"/>
        </w:tabs>
        <w:bidi w:val="0"/>
        <w:spacing w:before="0" w:after="0" w:line="314" w:lineRule="exact"/>
        <w:ind w:left="440" w:leftChars="0" w:right="0" w:rightChars="0"/>
        <w:jc w:val="both"/>
        <w:rPr>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3</w:t>
      </w: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color w:val="000000"/>
          <w:spacing w:val="0"/>
          <w:w w:val="100"/>
          <w:position w:val="0"/>
          <w:sz w:val="24"/>
          <w:szCs w:val="24"/>
          <w:shd w:val="clear" w:color="auto" w:fill="auto"/>
        </w:rPr>
        <w:t>生成关键成土因素变量。</w:t>
      </w:r>
    </w:p>
    <w:p>
      <w:pPr>
        <w:pStyle w:val="9"/>
        <w:keepNext w:val="0"/>
        <w:keepLines w:val="0"/>
        <w:widowControl w:val="0"/>
        <w:shd w:val="clear" w:color="auto" w:fill="auto"/>
        <w:bidi w:val="0"/>
        <w:spacing w:before="0" w:after="0" w:line="314" w:lineRule="exact"/>
        <w:ind w:left="0" w:right="0" w:firstLine="440"/>
        <w:jc w:val="both"/>
        <w:rPr>
          <w:sz w:val="24"/>
          <w:szCs w:val="24"/>
        </w:rPr>
      </w:pPr>
      <w:r>
        <w:rPr>
          <w:color w:val="000000"/>
          <w:spacing w:val="0"/>
          <w:w w:val="100"/>
          <w:position w:val="0"/>
          <w:sz w:val="24"/>
          <w:szCs w:val="24"/>
          <w:shd w:val="clear" w:color="auto" w:fill="auto"/>
        </w:rPr>
        <w:t>包括高程、坡度、</w:t>
      </w:r>
      <w:r>
        <w:rPr>
          <w:color w:val="000000"/>
          <w:spacing w:val="0"/>
          <w:w w:val="100"/>
          <w:position w:val="0"/>
          <w:sz w:val="24"/>
          <w:szCs w:val="24"/>
          <w:shd w:val="clear" w:color="auto" w:fill="auto"/>
          <w:lang w:val="en-US" w:eastAsia="en-US" w:bidi="en-US"/>
        </w:rPr>
        <w:t>NDVI</w:t>
      </w:r>
      <w:r>
        <w:rPr>
          <w:color w:val="000000"/>
          <w:spacing w:val="0"/>
          <w:w w:val="100"/>
          <w:position w:val="0"/>
          <w:sz w:val="24"/>
          <w:szCs w:val="24"/>
          <w:shd w:val="clear" w:color="auto" w:fill="auto"/>
        </w:rPr>
        <w:t>标准差、</w:t>
      </w:r>
      <w:r>
        <w:rPr>
          <w:color w:val="000000"/>
          <w:spacing w:val="0"/>
          <w:w w:val="100"/>
          <w:position w:val="0"/>
          <w:sz w:val="24"/>
          <w:szCs w:val="24"/>
          <w:shd w:val="clear" w:color="auto" w:fill="auto"/>
          <w:lang w:val="en-US" w:eastAsia="en-US" w:bidi="en-US"/>
        </w:rPr>
        <w:t>Landsat7</w:t>
      </w:r>
      <w:r>
        <w:rPr>
          <w:color w:val="000000"/>
          <w:spacing w:val="0"/>
          <w:w w:val="100"/>
          <w:position w:val="0"/>
          <w:sz w:val="24"/>
          <w:szCs w:val="24"/>
          <w:shd w:val="clear" w:color="auto" w:fill="auto"/>
        </w:rPr>
        <w:t>(</w:t>
      </w:r>
      <w:r>
        <w:rPr>
          <w:rFonts w:hint="eastAsia"/>
          <w:color w:val="000000"/>
          <w:spacing w:val="0"/>
          <w:w w:val="100"/>
          <w:position w:val="0"/>
          <w:sz w:val="24"/>
          <w:szCs w:val="24"/>
          <w:shd w:val="clear" w:color="auto" w:fill="auto"/>
          <w:lang w:val="en-US" w:eastAsia="zh-CN"/>
        </w:rPr>
        <w:t>b</w:t>
      </w:r>
      <w:r>
        <w:rPr>
          <w:color w:val="000000"/>
          <w:spacing w:val="0"/>
          <w:w w:val="100"/>
          <w:position w:val="0"/>
          <w:sz w:val="24"/>
          <w:szCs w:val="24"/>
          <w:shd w:val="clear" w:color="auto" w:fill="auto"/>
        </w:rPr>
        <w:t>5)、地形地貌和母质等变量，用于识别土种的典型景观部位。</w:t>
      </w:r>
    </w:p>
    <w:p>
      <w:pPr>
        <w:pStyle w:val="9"/>
        <w:keepNext w:val="0"/>
        <w:keepLines w:val="0"/>
        <w:widowControl w:val="0"/>
        <w:numPr>
          <w:ilvl w:val="0"/>
          <w:numId w:val="0"/>
        </w:numPr>
        <w:shd w:val="clear" w:color="auto" w:fill="auto"/>
        <w:tabs>
          <w:tab w:val="left" w:pos="918"/>
        </w:tabs>
        <w:bidi w:val="0"/>
        <w:spacing w:before="0" w:after="0" w:line="314" w:lineRule="exact"/>
        <w:ind w:left="440" w:leftChars="0" w:right="0" w:rightChars="0"/>
        <w:jc w:val="both"/>
        <w:rPr>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4</w:t>
      </w: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color w:val="000000"/>
          <w:spacing w:val="0"/>
          <w:w w:val="100"/>
          <w:position w:val="0"/>
          <w:sz w:val="24"/>
          <w:szCs w:val="24"/>
          <w:shd w:val="clear" w:color="auto" w:fill="auto"/>
        </w:rPr>
        <w:t>处理地貌类型图。</w:t>
      </w:r>
    </w:p>
    <w:p>
      <w:pPr>
        <w:pStyle w:val="9"/>
        <w:keepNext w:val="0"/>
        <w:keepLines w:val="0"/>
        <w:widowControl w:val="0"/>
        <w:shd w:val="clear" w:color="auto" w:fill="auto"/>
        <w:bidi w:val="0"/>
        <w:spacing w:before="0" w:after="0" w:line="314" w:lineRule="exact"/>
        <w:ind w:left="0" w:right="0" w:firstLine="440"/>
        <w:jc w:val="both"/>
        <w:rPr>
          <w:sz w:val="24"/>
          <w:szCs w:val="24"/>
        </w:rPr>
      </w:pPr>
      <w:r>
        <w:rPr>
          <w:color w:val="000000"/>
          <w:spacing w:val="0"/>
          <w:w w:val="100"/>
          <w:position w:val="0"/>
          <w:sz w:val="24"/>
          <w:szCs w:val="24"/>
          <w:shd w:val="clear" w:color="auto" w:fill="auto"/>
        </w:rPr>
        <w:t>将地貌类型分为两类：一是低起伏区，包括平原(地势起伏度＜30</w:t>
      </w:r>
      <w:r>
        <w:rPr>
          <w:color w:val="000000"/>
          <w:spacing w:val="0"/>
          <w:w w:val="100"/>
          <w:position w:val="0"/>
          <w:sz w:val="24"/>
          <w:szCs w:val="24"/>
          <w:shd w:val="clear" w:color="auto" w:fill="auto"/>
          <w:lang w:val="en-US" w:eastAsia="en-US" w:bidi="en-US"/>
        </w:rPr>
        <w:t>m)、</w:t>
      </w:r>
      <w:r>
        <w:rPr>
          <w:color w:val="000000"/>
          <w:spacing w:val="0"/>
          <w:w w:val="100"/>
          <w:position w:val="0"/>
          <w:sz w:val="24"/>
          <w:szCs w:val="24"/>
          <w:shd w:val="clear" w:color="auto" w:fill="auto"/>
        </w:rPr>
        <w:t>台地(地势起伏度</w:t>
      </w:r>
      <w:r>
        <w:rPr>
          <w:rFonts w:hint="eastAsia"/>
          <w:color w:val="000000"/>
          <w:spacing w:val="0"/>
          <w:w w:val="100"/>
          <w:position w:val="0"/>
          <w:sz w:val="24"/>
          <w:szCs w:val="24"/>
          <w:shd w:val="clear" w:color="auto" w:fill="auto"/>
          <w:lang w:val="en-US" w:eastAsia="zh-CN"/>
        </w:rPr>
        <w:t>≥</w:t>
      </w:r>
      <w:r>
        <w:rPr>
          <w:color w:val="000000"/>
          <w:spacing w:val="0"/>
          <w:w w:val="100"/>
          <w:position w:val="0"/>
          <w:sz w:val="24"/>
          <w:szCs w:val="24"/>
          <w:shd w:val="clear" w:color="auto" w:fill="auto"/>
          <w:lang w:val="en-US" w:eastAsia="en-US" w:bidi="en-US"/>
        </w:rPr>
        <w:t>30m）、</w:t>
      </w:r>
      <w:r>
        <w:rPr>
          <w:color w:val="000000"/>
          <w:spacing w:val="0"/>
          <w:w w:val="100"/>
          <w:position w:val="0"/>
          <w:sz w:val="24"/>
          <w:szCs w:val="24"/>
          <w:shd w:val="clear" w:color="auto" w:fill="auto"/>
        </w:rPr>
        <w:t>丘陵</w:t>
      </w:r>
      <w:r>
        <w:rPr>
          <w:color w:val="000000"/>
          <w:spacing w:val="0"/>
          <w:w w:val="100"/>
          <w:position w:val="0"/>
          <w:sz w:val="24"/>
          <w:szCs w:val="24"/>
          <w:shd w:val="clear" w:color="auto" w:fill="auto"/>
          <w:lang w:val="en-US" w:eastAsia="en-US" w:bidi="en-US"/>
        </w:rPr>
        <w:t>（</w:t>
      </w:r>
      <w:r>
        <w:rPr>
          <w:color w:val="000000"/>
          <w:spacing w:val="0"/>
          <w:w w:val="100"/>
          <w:position w:val="0"/>
          <w:sz w:val="24"/>
          <w:szCs w:val="24"/>
          <w:shd w:val="clear" w:color="auto" w:fill="auto"/>
        </w:rPr>
        <w:t>地势起伏度＜200</w:t>
      </w:r>
      <w:r>
        <w:rPr>
          <w:color w:val="000000"/>
          <w:spacing w:val="0"/>
          <w:w w:val="100"/>
          <w:position w:val="0"/>
          <w:sz w:val="24"/>
          <w:szCs w:val="24"/>
          <w:shd w:val="clear" w:color="auto" w:fill="auto"/>
          <w:lang w:val="en-US" w:eastAsia="en-US" w:bidi="en-US"/>
        </w:rPr>
        <w:t>m）、</w:t>
      </w:r>
      <w:r>
        <w:rPr>
          <w:color w:val="000000"/>
          <w:spacing w:val="0"/>
          <w:w w:val="100"/>
          <w:position w:val="0"/>
          <w:sz w:val="24"/>
          <w:szCs w:val="24"/>
          <w:shd w:val="clear" w:color="auto" w:fill="auto"/>
        </w:rPr>
        <w:t>海拔</w:t>
      </w:r>
      <w:r>
        <w:rPr>
          <w:rFonts w:hint="eastAsia"/>
          <w:color w:val="000000"/>
          <w:spacing w:val="0"/>
          <w:w w:val="100"/>
          <w:position w:val="0"/>
          <w:sz w:val="24"/>
          <w:szCs w:val="24"/>
          <w:shd w:val="clear" w:color="auto" w:fill="auto"/>
          <w:lang w:val="en-US" w:eastAsia="zh-CN"/>
        </w:rPr>
        <w:t>≤</w:t>
      </w:r>
      <w:r>
        <w:rPr>
          <w:color w:val="000000"/>
          <w:spacing w:val="0"/>
          <w:w w:val="100"/>
          <w:position w:val="0"/>
          <w:sz w:val="24"/>
          <w:szCs w:val="24"/>
          <w:shd w:val="clear" w:color="auto" w:fill="auto"/>
          <w:lang w:val="en-US" w:eastAsia="en-US" w:bidi="en-US"/>
        </w:rPr>
        <w:t>1000m</w:t>
      </w:r>
      <w:r>
        <w:rPr>
          <w:color w:val="000000"/>
          <w:spacing w:val="0"/>
          <w:w w:val="100"/>
          <w:position w:val="0"/>
          <w:sz w:val="24"/>
          <w:szCs w:val="24"/>
          <w:shd w:val="clear" w:color="auto" w:fill="auto"/>
        </w:rPr>
        <w:t>（低海拔）的区域；二是高起伏区，包括丘陵（地势起伏</w:t>
      </w:r>
      <w:r>
        <w:rPr>
          <w:rFonts w:hint="eastAsia"/>
          <w:color w:val="000000"/>
          <w:spacing w:val="0"/>
          <w:w w:val="100"/>
          <w:position w:val="0"/>
          <w:sz w:val="24"/>
          <w:szCs w:val="24"/>
          <w:shd w:val="clear" w:color="auto" w:fill="auto"/>
          <w:lang w:val="en-US" w:eastAsia="zh-CN"/>
        </w:rPr>
        <w:t>度</w:t>
      </w:r>
      <w:r>
        <w:rPr>
          <w:color w:val="000000"/>
          <w:spacing w:val="0"/>
          <w:w w:val="100"/>
          <w:position w:val="0"/>
          <w:sz w:val="24"/>
          <w:szCs w:val="24"/>
          <w:shd w:val="clear" w:color="auto" w:fill="auto"/>
        </w:rPr>
        <w:t>＜200</w:t>
      </w:r>
      <w:r>
        <w:rPr>
          <w:color w:val="000000"/>
          <w:spacing w:val="0"/>
          <w:w w:val="100"/>
          <w:position w:val="0"/>
          <w:sz w:val="24"/>
          <w:szCs w:val="24"/>
          <w:shd w:val="clear" w:color="auto" w:fill="auto"/>
          <w:lang w:val="en-US" w:eastAsia="en-US" w:bidi="en-US"/>
        </w:rPr>
        <w:t>m）、</w:t>
      </w:r>
      <w:r>
        <w:rPr>
          <w:color w:val="000000"/>
          <w:spacing w:val="0"/>
          <w:w w:val="100"/>
          <w:position w:val="0"/>
          <w:sz w:val="24"/>
          <w:szCs w:val="24"/>
          <w:shd w:val="clear" w:color="auto" w:fill="auto"/>
        </w:rPr>
        <w:t>海拔＞1000</w:t>
      </w:r>
      <w:r>
        <w:rPr>
          <w:color w:val="000000"/>
          <w:spacing w:val="0"/>
          <w:w w:val="100"/>
          <w:position w:val="0"/>
          <w:sz w:val="24"/>
          <w:szCs w:val="24"/>
          <w:shd w:val="clear" w:color="auto" w:fill="auto"/>
          <w:lang w:val="en-US" w:eastAsia="en-US" w:bidi="en-US"/>
        </w:rPr>
        <w:t>m</w:t>
      </w:r>
      <w:r>
        <w:rPr>
          <w:color w:val="000000"/>
          <w:spacing w:val="0"/>
          <w:w w:val="100"/>
          <w:position w:val="0"/>
          <w:sz w:val="24"/>
          <w:szCs w:val="24"/>
          <w:shd w:val="clear" w:color="auto" w:fill="auto"/>
        </w:rPr>
        <w:t>（中海拔以上）、起伏山地</w:t>
      </w:r>
      <w:r>
        <w:rPr>
          <w:rFonts w:hint="eastAsia"/>
          <w:color w:val="000000"/>
          <w:spacing w:val="0"/>
          <w:w w:val="100"/>
          <w:position w:val="0"/>
          <w:sz w:val="24"/>
          <w:szCs w:val="24"/>
          <w:shd w:val="clear" w:color="auto" w:fill="auto"/>
          <w:lang w:eastAsia="zh-CN"/>
        </w:rPr>
        <w:t>（</w:t>
      </w:r>
      <w:r>
        <w:rPr>
          <w:color w:val="000000"/>
          <w:spacing w:val="0"/>
          <w:w w:val="100"/>
          <w:position w:val="0"/>
          <w:sz w:val="24"/>
          <w:szCs w:val="24"/>
          <w:shd w:val="clear" w:color="auto" w:fill="auto"/>
        </w:rPr>
        <w:t>地势起伏度</w:t>
      </w:r>
      <w:r>
        <w:rPr>
          <w:rFonts w:hint="eastAsia"/>
          <w:color w:val="000000"/>
          <w:spacing w:val="0"/>
          <w:w w:val="100"/>
          <w:position w:val="0"/>
          <w:sz w:val="24"/>
          <w:szCs w:val="24"/>
          <w:shd w:val="clear" w:color="auto" w:fill="auto"/>
          <w:lang w:val="en-US" w:eastAsia="zh-CN"/>
        </w:rPr>
        <w:t>＞</w:t>
      </w:r>
      <w:r>
        <w:rPr>
          <w:color w:val="000000"/>
          <w:spacing w:val="0"/>
          <w:w w:val="100"/>
          <w:position w:val="0"/>
          <w:sz w:val="24"/>
          <w:szCs w:val="24"/>
          <w:shd w:val="clear" w:color="auto" w:fill="auto"/>
          <w:lang w:val="en-US" w:eastAsia="en-US" w:bidi="en-US"/>
        </w:rPr>
        <w:t>200</w:t>
      </w:r>
      <w:r>
        <w:rPr>
          <w:rFonts w:hint="eastAsia"/>
          <w:color w:val="000000"/>
          <w:spacing w:val="0"/>
          <w:w w:val="100"/>
          <w:position w:val="0"/>
          <w:sz w:val="24"/>
          <w:szCs w:val="24"/>
          <w:shd w:val="clear" w:color="auto" w:fill="auto"/>
          <w:lang w:val="en-US" w:eastAsia="zh-CN" w:bidi="en-US"/>
        </w:rPr>
        <w:t>m）</w:t>
      </w:r>
      <w:r>
        <w:rPr>
          <w:color w:val="000000"/>
          <w:spacing w:val="0"/>
          <w:w w:val="100"/>
          <w:position w:val="0"/>
          <w:sz w:val="24"/>
          <w:szCs w:val="24"/>
          <w:shd w:val="clear" w:color="auto" w:fill="auto"/>
          <w:lang w:val="en-US" w:eastAsia="en-US" w:bidi="en-US"/>
        </w:rPr>
        <w:t>。</w:t>
      </w:r>
    </w:p>
    <w:p>
      <w:pPr>
        <w:pStyle w:val="9"/>
        <w:keepNext w:val="0"/>
        <w:keepLines w:val="0"/>
        <w:widowControl w:val="0"/>
        <w:shd w:val="clear" w:color="auto" w:fill="auto"/>
        <w:bidi w:val="0"/>
        <w:spacing w:before="0" w:after="0" w:line="312" w:lineRule="exact"/>
        <w:ind w:left="0" w:right="0" w:firstLine="440"/>
        <w:jc w:val="left"/>
        <w:rPr>
          <w:sz w:val="24"/>
          <w:szCs w:val="24"/>
        </w:rPr>
      </w:pPr>
      <w:r>
        <w:rPr>
          <w:color w:val="000000"/>
          <w:spacing w:val="0"/>
          <w:w w:val="100"/>
          <w:position w:val="0"/>
          <w:sz w:val="24"/>
          <w:szCs w:val="24"/>
          <w:shd w:val="clear" w:color="auto" w:fill="auto"/>
        </w:rPr>
        <w:t>（5）制作道路潜在可达性图层。</w:t>
      </w:r>
    </w:p>
    <w:p>
      <w:pPr>
        <w:pStyle w:val="9"/>
        <w:keepNext w:val="0"/>
        <w:keepLines w:val="0"/>
        <w:widowControl w:val="0"/>
        <w:shd w:val="clear" w:color="auto" w:fill="auto"/>
        <w:bidi w:val="0"/>
        <w:spacing w:before="0" w:after="0" w:line="312" w:lineRule="exact"/>
        <w:ind w:left="0" w:right="0" w:firstLine="440"/>
        <w:jc w:val="both"/>
        <w:rPr>
          <w:sz w:val="24"/>
          <w:szCs w:val="24"/>
        </w:rPr>
      </w:pPr>
      <w:r>
        <w:rPr>
          <w:color w:val="000000"/>
          <w:spacing w:val="0"/>
          <w:w w:val="100"/>
          <w:position w:val="0"/>
          <w:sz w:val="24"/>
          <w:szCs w:val="24"/>
          <w:shd w:val="clear" w:color="auto" w:fill="auto"/>
        </w:rPr>
        <w:t>在低起伏区和高起伏区图中，假设低起伏区为道路可达区域，高起伏区为不可达区域。在土地利用类型中，假设耕园地为可达区域，林草地为不可达区域。将以上两个图层进行叠加，如有一方为不可达，则认定为不可达，需要道路作为辅助。设定低起伏区道路周边</w:t>
      </w:r>
      <w:r>
        <w:rPr>
          <w:color w:val="000000"/>
          <w:spacing w:val="0"/>
          <w:w w:val="100"/>
          <w:position w:val="0"/>
          <w:sz w:val="24"/>
          <w:szCs w:val="24"/>
          <w:shd w:val="clear" w:color="auto" w:fill="auto"/>
          <w:lang w:val="en-US" w:eastAsia="en-US" w:bidi="en-US"/>
        </w:rPr>
        <w:t>1000m</w:t>
      </w:r>
      <w:r>
        <w:rPr>
          <w:color w:val="000000"/>
          <w:spacing w:val="0"/>
          <w:w w:val="100"/>
          <w:position w:val="0"/>
          <w:sz w:val="24"/>
          <w:szCs w:val="24"/>
          <w:shd w:val="clear" w:color="auto" w:fill="auto"/>
        </w:rPr>
        <w:t>为可达区域。高起伏区道路周边</w:t>
      </w:r>
      <w:r>
        <w:rPr>
          <w:color w:val="000000"/>
          <w:spacing w:val="0"/>
          <w:w w:val="100"/>
          <w:position w:val="0"/>
          <w:sz w:val="24"/>
          <w:szCs w:val="24"/>
          <w:shd w:val="clear" w:color="auto" w:fill="auto"/>
          <w:lang w:val="en-US" w:eastAsia="en-US" w:bidi="en-US"/>
        </w:rPr>
        <w:t>200m</w:t>
      </w:r>
      <w:r>
        <w:rPr>
          <w:color w:val="000000"/>
          <w:spacing w:val="0"/>
          <w:w w:val="100"/>
          <w:position w:val="0"/>
          <w:sz w:val="24"/>
          <w:szCs w:val="24"/>
          <w:shd w:val="clear" w:color="auto" w:fill="auto"/>
        </w:rPr>
        <w:t>为可达区域，综合以上信息，形成道路潜在可达性图层。进一步以道路为基准，以</w:t>
      </w:r>
      <w:r>
        <w:rPr>
          <w:color w:val="000000"/>
          <w:spacing w:val="0"/>
          <w:w w:val="100"/>
          <w:position w:val="0"/>
          <w:sz w:val="24"/>
          <w:szCs w:val="24"/>
          <w:shd w:val="clear" w:color="auto" w:fill="auto"/>
          <w:lang w:val="en-US" w:eastAsia="en-US" w:bidi="en-US"/>
        </w:rPr>
        <w:t>100m</w:t>
      </w:r>
      <w:r>
        <w:rPr>
          <w:color w:val="000000"/>
          <w:spacing w:val="0"/>
          <w:w w:val="100"/>
          <w:position w:val="0"/>
          <w:sz w:val="24"/>
          <w:szCs w:val="24"/>
          <w:shd w:val="clear" w:color="auto" w:fill="auto"/>
        </w:rPr>
        <w:t>为间隔，依次向外计算道路可达性级别。</w:t>
      </w:r>
    </w:p>
    <w:p>
      <w:pPr>
        <w:pStyle w:val="21"/>
        <w:keepNext/>
        <w:keepLines/>
        <w:widowControl w:val="0"/>
        <w:numPr>
          <w:ilvl w:val="0"/>
          <w:numId w:val="0"/>
        </w:numPr>
        <w:shd w:val="clear" w:color="auto" w:fill="auto"/>
        <w:tabs>
          <w:tab w:val="left" w:pos="739"/>
        </w:tabs>
        <w:bidi w:val="0"/>
        <w:spacing w:before="0" w:after="0" w:line="312" w:lineRule="exact"/>
        <w:ind w:leftChars="0" w:right="0" w:rightChars="0"/>
        <w:jc w:val="left"/>
        <w:rPr>
          <w:rFonts w:hint="eastAsia" w:asciiTheme="minorEastAsia" w:hAnsiTheme="minorEastAsia" w:eastAsiaTheme="minorEastAsia" w:cstheme="minorEastAsia"/>
          <w:sz w:val="24"/>
          <w:szCs w:val="24"/>
        </w:rPr>
      </w:pPr>
      <w:bookmarkStart w:id="15" w:name="bookmark33"/>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4.3.4  </w:t>
      </w:r>
      <w:r>
        <w:rPr>
          <w:rFonts w:hint="eastAsia" w:asciiTheme="minorEastAsia" w:hAnsiTheme="minorEastAsia" w:eastAsiaTheme="minorEastAsia" w:cstheme="minorEastAsia"/>
          <w:color w:val="000000"/>
          <w:spacing w:val="0"/>
          <w:w w:val="100"/>
          <w:position w:val="0"/>
          <w:sz w:val="24"/>
          <w:szCs w:val="24"/>
          <w:shd w:val="clear" w:color="auto" w:fill="auto"/>
        </w:rPr>
        <w:t>剖面样点预布设技术流程</w:t>
      </w:r>
      <w:bookmarkEnd w:id="15"/>
    </w:p>
    <w:p>
      <w:pPr>
        <w:pStyle w:val="9"/>
        <w:keepNext w:val="0"/>
        <w:keepLines w:val="0"/>
        <w:widowControl w:val="0"/>
        <w:shd w:val="clear" w:color="auto" w:fill="auto"/>
        <w:bidi w:val="0"/>
        <w:spacing w:before="0" w:after="560" w:line="312" w:lineRule="exact"/>
        <w:ind w:left="0" w:right="0" w:firstLine="440"/>
        <w:jc w:val="both"/>
      </w:pPr>
      <w:r>
        <w:rPr>
          <w:color w:val="000000"/>
          <w:spacing w:val="0"/>
          <w:w w:val="100"/>
          <w:position w:val="0"/>
          <w:sz w:val="24"/>
          <w:szCs w:val="24"/>
          <w:shd w:val="clear" w:color="auto" w:fill="auto"/>
        </w:rPr>
        <w:t>剖面样点布设的技术步骤主要包括估算省域剖面样点数、确定各土种样点数量、筛选土种代表性图斑、识别典型的景观位置和土壤类型变化区补点（图3）。</w:t>
      </w:r>
    </w:p>
    <w:p>
      <w:pPr>
        <w:widowControl w:val="0"/>
        <w:jc w:val="center"/>
        <w:rPr>
          <w:sz w:val="2"/>
          <w:szCs w:val="2"/>
        </w:rPr>
      </w:pPr>
      <w:r>
        <w:drawing>
          <wp:inline distT="0" distB="0" distL="114300" distR="114300">
            <wp:extent cx="2389505" cy="3310255"/>
            <wp:effectExtent l="0" t="0" r="3175" b="12065"/>
            <wp:docPr id="41" name="Picutre 41"/>
            <wp:cNvGraphicFramePr/>
            <a:graphic xmlns:a="http://schemas.openxmlformats.org/drawingml/2006/main">
              <a:graphicData uri="http://schemas.openxmlformats.org/drawingml/2006/picture">
                <pic:pic xmlns:pic="http://schemas.openxmlformats.org/drawingml/2006/picture">
                  <pic:nvPicPr>
                    <pic:cNvPr id="41" name="Picutre 41"/>
                    <pic:cNvPicPr/>
                  </pic:nvPicPr>
                  <pic:blipFill>
                    <a:blip r:embed="rId22"/>
                    <a:stretch>
                      <a:fillRect/>
                    </a:stretch>
                  </pic:blipFill>
                  <pic:spPr>
                    <a:xfrm>
                      <a:off x="0" y="0"/>
                      <a:ext cx="2389505" cy="3310255"/>
                    </a:xfrm>
                    <a:prstGeom prst="rect">
                      <a:avLst/>
                    </a:prstGeom>
                  </pic:spPr>
                </pic:pic>
              </a:graphicData>
            </a:graphic>
          </wp:inline>
        </w:drawing>
      </w:r>
    </w:p>
    <w:p>
      <w:pPr>
        <w:pStyle w:val="27"/>
        <w:keepNext w:val="0"/>
        <w:keepLines w:val="0"/>
        <w:widowControl w:val="0"/>
        <w:shd w:val="clear" w:color="auto" w:fill="auto"/>
        <w:bidi w:val="0"/>
        <w:spacing w:before="0" w:after="0" w:line="240" w:lineRule="auto"/>
        <w:ind w:left="725" w:right="0" w:firstLine="3072" w:firstLineChars="1700"/>
        <w:jc w:val="left"/>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color w:val="000000"/>
          <w:spacing w:val="0"/>
          <w:w w:val="100"/>
          <w:position w:val="0"/>
          <w:sz w:val="18"/>
          <w:szCs w:val="18"/>
          <w:shd w:val="clear" w:color="auto" w:fill="auto"/>
        </w:rPr>
        <w:t>图3 剖面样点布设技术流程</w:t>
      </w:r>
    </w:p>
    <w:p>
      <w:pPr>
        <w:widowControl w:val="0"/>
        <w:spacing w:after="99" w:line="1" w:lineRule="exact"/>
      </w:pPr>
    </w:p>
    <w:p>
      <w:pPr>
        <w:pStyle w:val="9"/>
        <w:keepNext w:val="0"/>
        <w:keepLines w:val="0"/>
        <w:widowControl w:val="0"/>
        <w:shd w:val="clear" w:color="auto" w:fill="auto"/>
        <w:bidi w:val="0"/>
        <w:spacing w:before="0" w:after="0" w:line="311" w:lineRule="exact"/>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4.3.4.1  </w:t>
      </w:r>
      <w:r>
        <w:rPr>
          <w:rFonts w:hint="eastAsia" w:asciiTheme="majorEastAsia" w:hAnsiTheme="majorEastAsia" w:eastAsiaTheme="majorEastAsia" w:cstheme="majorEastAsia"/>
          <w:b/>
          <w:bCs/>
          <w:color w:val="000000"/>
          <w:spacing w:val="0"/>
          <w:w w:val="100"/>
          <w:position w:val="0"/>
          <w:sz w:val="24"/>
          <w:szCs w:val="24"/>
          <w:shd w:val="clear" w:color="auto" w:fill="auto"/>
        </w:rPr>
        <w:t>计算省域样点数量</w:t>
      </w:r>
    </w:p>
    <w:p>
      <w:pPr>
        <w:pStyle w:val="9"/>
        <w:keepNext w:val="0"/>
        <w:keepLines w:val="0"/>
        <w:widowControl w:val="0"/>
        <w:shd w:val="clear" w:color="auto" w:fill="auto"/>
        <w:bidi w:val="0"/>
        <w:spacing w:before="0" w:after="0" w:line="311"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 计算省域剖面样点基数。</w:t>
      </w:r>
    </w:p>
    <w:p>
      <w:pPr>
        <w:pStyle w:val="9"/>
        <w:keepNext w:val="0"/>
        <w:keepLines w:val="0"/>
        <w:widowControl w:val="0"/>
        <w:shd w:val="clear" w:color="auto" w:fill="auto"/>
        <w:bidi w:val="0"/>
        <w:spacing w:before="0" w:after="0" w:line="311"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在全国层面，以全国6万个剖面样点的总体控制要求为基数，结合自然重要性（温度带、干湿区、地貌、植被）和农业重要性（粮食产量）区域差异，打分量化。在省域层面，考虑省域内耕园林草地面积（林草地布点密度为耕园地1/16）和土壤类型复杂度，打分量化。全国各省市剖面样点布设基数的计算公式为:</w:t>
      </w:r>
    </w:p>
    <w:p>
      <w:pPr>
        <w:pStyle w:val="9"/>
        <w:keepNext w:val="0"/>
        <w:keepLines w:val="0"/>
        <w:widowControl w:val="0"/>
        <w:shd w:val="clear" w:color="auto" w:fill="auto"/>
        <w:bidi w:val="0"/>
        <w:spacing w:before="0" w:after="0" w:line="311"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某省域剖面样点数=全国剖面样点计划数</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（该省自然重要性得分</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w:t>
      </w:r>
      <w:r>
        <w:rPr>
          <w:rFonts w:hint="eastAsia" w:ascii="华文隶书" w:hAnsi="华文隶书" w:eastAsia="华文隶书" w:cs="华文隶书"/>
          <w:color w:val="000000"/>
          <w:spacing w:val="0"/>
          <w:w w:val="100"/>
          <w:position w:val="0"/>
          <w:sz w:val="24"/>
          <w:szCs w:val="24"/>
          <w:shd w:val="clear" w:color="auto" w:fill="auto"/>
          <w:lang w:val="en-US" w:eastAsia="zh-CN"/>
        </w:rPr>
        <w:t>w</w:t>
      </w:r>
      <w:r>
        <w:rPr>
          <w:rFonts w:hint="eastAsia" w:asciiTheme="minorEastAsia" w:hAnsiTheme="minorEastAsia" w:eastAsiaTheme="minorEastAsia" w:cstheme="minorEastAsia"/>
          <w:color w:val="000000"/>
          <w:spacing w:val="0"/>
          <w:w w:val="100"/>
          <w:position w:val="0"/>
          <w:sz w:val="24"/>
          <w:szCs w:val="24"/>
          <w:shd w:val="clear" w:color="auto" w:fill="auto"/>
          <w:vertAlign w:val="subscript"/>
          <w:lang w:val="en-US" w:eastAsia="zh-CN"/>
        </w:rPr>
        <w:t>1</w:t>
      </w:r>
      <w:r>
        <w:rPr>
          <w:rFonts w:hint="default"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该</w:t>
      </w:r>
      <w:r>
        <w:rPr>
          <w:rFonts w:hint="eastAsia" w:asciiTheme="minorEastAsia" w:hAnsiTheme="minorEastAsia" w:eastAsiaTheme="minorEastAsia" w:cstheme="minorEastAsia"/>
          <w:color w:val="000000"/>
          <w:spacing w:val="0"/>
          <w:w w:val="100"/>
          <w:position w:val="0"/>
          <w:sz w:val="24"/>
          <w:szCs w:val="24"/>
          <w:shd w:val="clear" w:color="auto" w:fill="auto"/>
        </w:rPr>
        <w:t>省农该业重要性得分×</w:t>
      </w:r>
      <w:r>
        <w:rPr>
          <w:rFonts w:hint="eastAsia" w:ascii="华文隶书" w:hAnsi="华文隶书" w:eastAsia="华文隶书" w:cs="华文隶书"/>
          <w:color w:val="000000"/>
          <w:spacing w:val="0"/>
          <w:w w:val="100"/>
          <w:position w:val="0"/>
          <w:sz w:val="24"/>
          <w:szCs w:val="24"/>
          <w:shd w:val="clear" w:color="auto" w:fill="auto"/>
          <w:lang w:val="en-US" w:eastAsia="zh-CN"/>
        </w:rPr>
        <w:t>w</w:t>
      </w:r>
      <w:r>
        <w:rPr>
          <w:rFonts w:hint="eastAsia" w:ascii="华文隶书" w:hAnsi="华文隶书" w:eastAsia="华文隶书" w:cs="华文隶书"/>
          <w:color w:val="000000"/>
          <w:spacing w:val="0"/>
          <w:w w:val="100"/>
          <w:position w:val="0"/>
          <w:sz w:val="24"/>
          <w:szCs w:val="24"/>
          <w:shd w:val="clear" w:color="auto" w:fill="auto"/>
          <w:vertAlign w:val="subscript"/>
          <w:lang w:val="en-US" w:eastAsia="zh-CN"/>
        </w:rPr>
        <w:t>2</w:t>
      </w:r>
      <w:r>
        <w:rPr>
          <w:rFonts w:hint="eastAsia" w:hAnsi="Cambria Math" w:cstheme="minorEastAsia"/>
          <w:b/>
          <w:bCs/>
          <w:i w:val="0"/>
          <w:color w:val="000000"/>
          <w:spacing w:val="0"/>
          <w:w w:val="100"/>
          <w:position w:val="0"/>
          <w:sz w:val="24"/>
          <w:szCs w:val="24"/>
          <w:shd w:val="clear" w:color="auto" w:fill="auto"/>
          <w:lang w:val="en-US"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该省有效面积得分×</w:t>
      </w:r>
      <w:r>
        <w:rPr>
          <w:rFonts w:hint="eastAsia" w:ascii="华文隶书" w:hAnsi="华文隶书" w:eastAsia="华文隶书" w:cs="华文隶书"/>
          <w:color w:val="000000"/>
          <w:spacing w:val="0"/>
          <w:w w:val="100"/>
          <w:position w:val="0"/>
          <w:sz w:val="24"/>
          <w:szCs w:val="24"/>
          <w:shd w:val="clear" w:color="auto" w:fill="auto"/>
          <w:lang w:val="en-US" w:eastAsia="zh-CN"/>
        </w:rPr>
        <w:t>w</w:t>
      </w:r>
      <w:r>
        <w:rPr>
          <w:rFonts w:hint="eastAsia" w:asciiTheme="minorEastAsia" w:hAnsiTheme="minorEastAsia" w:eastAsiaTheme="minorEastAsia" w:cstheme="minorEastAsia"/>
          <w:color w:val="000000"/>
          <w:spacing w:val="0"/>
          <w:w w:val="100"/>
          <w:position w:val="0"/>
          <w:sz w:val="24"/>
          <w:szCs w:val="24"/>
          <w:shd w:val="clear" w:color="auto" w:fill="auto"/>
          <w:vertAlign w:val="subscript"/>
          <w:lang w:val="en-US" w:eastAsia="zh-CN"/>
        </w:rPr>
        <w:t>3</w:t>
      </w:r>
      <w:r>
        <w:rPr>
          <w:rFonts w:hint="eastAsia" w:asciiTheme="minorEastAsia" w:hAnsiTheme="minorEastAsia" w:eastAsiaTheme="minorEastAsia" w:cstheme="minorEastAsia"/>
          <w:b/>
          <w:bCs/>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rPr>
        <w:t>该省土壤类型复杂度得分</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w:t>
      </w:r>
      <w:r>
        <w:rPr>
          <w:rFonts w:hint="eastAsia" w:ascii="华文隶书" w:hAnsi="华文隶书" w:eastAsia="华文隶书" w:cs="华文隶书"/>
          <w:color w:val="000000"/>
          <w:spacing w:val="0"/>
          <w:w w:val="100"/>
          <w:position w:val="0"/>
          <w:sz w:val="24"/>
          <w:szCs w:val="24"/>
          <w:shd w:val="clear" w:color="auto" w:fill="auto"/>
          <w:lang w:val="en-US" w:eastAsia="zh-CN"/>
        </w:rPr>
        <w:t>w</w:t>
      </w:r>
      <w:r>
        <w:rPr>
          <w:rFonts w:hint="eastAsia" w:ascii="华文隶书" w:hAnsi="华文隶书" w:eastAsia="华文隶书" w:cs="华文隶书"/>
          <w:color w:val="000000"/>
          <w:spacing w:val="0"/>
          <w:w w:val="100"/>
          <w:position w:val="0"/>
          <w:sz w:val="24"/>
          <w:szCs w:val="24"/>
          <w:shd w:val="clear" w:color="auto" w:fill="auto"/>
          <w:vertAlign w:val="subscript"/>
          <w:lang w:val="en-US" w:eastAsia="zh-CN"/>
        </w:rPr>
        <w:t>4</w:t>
      </w: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rPr>
        <w:tab/>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（1）式中，</w:t>
      </w:r>
      <w:r>
        <w:rPr>
          <w:rFonts w:hint="eastAsia" w:ascii="华文隶书" w:hAnsi="华文隶书" w:eastAsia="华文隶书" w:cs="华文隶书"/>
          <w:color w:val="000000"/>
          <w:spacing w:val="0"/>
          <w:w w:val="100"/>
          <w:position w:val="0"/>
          <w:sz w:val="24"/>
          <w:szCs w:val="24"/>
          <w:shd w:val="clear" w:color="auto" w:fill="auto"/>
          <w:lang w:val="en-US" w:eastAsia="zh-CN"/>
        </w:rPr>
        <w:t>w</w:t>
      </w:r>
      <w:r>
        <w:rPr>
          <w:rFonts w:hint="eastAsia" w:asciiTheme="minorEastAsia" w:hAnsiTheme="minorEastAsia" w:eastAsiaTheme="minorEastAsia" w:cstheme="minorEastAsia"/>
          <w:color w:val="000000"/>
          <w:spacing w:val="0"/>
          <w:w w:val="100"/>
          <w:position w:val="0"/>
          <w:sz w:val="24"/>
          <w:szCs w:val="24"/>
          <w:shd w:val="clear" w:color="auto" w:fill="auto"/>
          <w:vertAlign w:val="subscript"/>
          <w:lang w:val="en-US" w:eastAsia="zh-CN"/>
        </w:rPr>
        <w:t>1</w:t>
      </w: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华文隶书" w:hAnsi="华文隶书" w:eastAsia="华文隶书" w:cs="华文隶书"/>
          <w:color w:val="000000"/>
          <w:spacing w:val="0"/>
          <w:w w:val="100"/>
          <w:position w:val="0"/>
          <w:sz w:val="24"/>
          <w:szCs w:val="24"/>
          <w:shd w:val="clear" w:color="auto" w:fill="auto"/>
          <w:lang w:val="en-US" w:eastAsia="zh-CN"/>
        </w:rPr>
        <w:t>w</w:t>
      </w:r>
      <w:r>
        <w:rPr>
          <w:rFonts w:hint="eastAsia" w:asciiTheme="minorEastAsia" w:hAnsiTheme="minorEastAsia" w:eastAsiaTheme="minorEastAsia" w:cstheme="minorEastAsia"/>
          <w:color w:val="000000"/>
          <w:spacing w:val="0"/>
          <w:w w:val="100"/>
          <w:position w:val="0"/>
          <w:sz w:val="24"/>
          <w:szCs w:val="24"/>
          <w:shd w:val="clear" w:color="auto" w:fill="auto"/>
          <w:vertAlign w:val="subscript"/>
          <w:lang w:val="en-US" w:eastAsia="zh-CN"/>
        </w:rPr>
        <w:t>2</w:t>
      </w: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华文隶书" w:hAnsi="华文隶书" w:eastAsia="华文隶书" w:cs="华文隶书"/>
          <w:color w:val="000000"/>
          <w:spacing w:val="0"/>
          <w:w w:val="100"/>
          <w:position w:val="0"/>
          <w:sz w:val="24"/>
          <w:szCs w:val="24"/>
          <w:shd w:val="clear" w:color="auto" w:fill="auto"/>
          <w:lang w:val="en-US" w:eastAsia="zh-CN"/>
        </w:rPr>
        <w:t>w</w:t>
      </w:r>
      <w:r>
        <w:rPr>
          <w:rFonts w:hint="eastAsia" w:asciiTheme="minorEastAsia" w:hAnsiTheme="minorEastAsia" w:eastAsiaTheme="minorEastAsia" w:cstheme="minorEastAsia"/>
          <w:color w:val="000000"/>
          <w:spacing w:val="0"/>
          <w:w w:val="100"/>
          <w:position w:val="0"/>
          <w:sz w:val="24"/>
          <w:szCs w:val="24"/>
          <w:shd w:val="clear" w:color="auto" w:fill="auto"/>
          <w:vertAlign w:val="subscript"/>
          <w:lang w:val="en-US" w:eastAsia="zh-CN"/>
        </w:rPr>
        <w:t>3</w:t>
      </w:r>
      <w:r>
        <w:rPr>
          <w:rFonts w:hint="eastAsia" w:asciiTheme="minorEastAsia" w:hAnsiTheme="minorEastAsia" w:eastAsiaTheme="minorEastAsia" w:cstheme="minorEastAsia"/>
          <w:color w:val="000000"/>
          <w:spacing w:val="0"/>
          <w:w w:val="100"/>
          <w:position w:val="0"/>
          <w:sz w:val="24"/>
          <w:szCs w:val="24"/>
          <w:shd w:val="clear" w:color="auto" w:fill="auto"/>
        </w:rPr>
        <w:t>和</w:t>
      </w:r>
      <w:r>
        <w:rPr>
          <w:rFonts w:hint="eastAsia" w:ascii="华文隶书" w:hAnsi="华文隶书" w:eastAsia="华文隶书" w:cs="华文隶书"/>
          <w:i/>
          <w:iCs/>
          <w:color w:val="000000"/>
          <w:spacing w:val="0"/>
          <w:w w:val="100"/>
          <w:position w:val="0"/>
          <w:sz w:val="24"/>
          <w:szCs w:val="24"/>
          <w:shd w:val="clear" w:color="auto" w:fill="auto"/>
          <w:lang w:val="en-US" w:eastAsia="en-US" w:bidi="en-US"/>
        </w:rPr>
        <w:t>w</w:t>
      </w:r>
      <w:r>
        <w:rPr>
          <w:rFonts w:hint="eastAsia" w:asciiTheme="minorEastAsia" w:hAnsiTheme="minorEastAsia" w:eastAsiaTheme="minorEastAsia" w:cstheme="minorEastAsia"/>
          <w:i/>
          <w:iCs/>
          <w:color w:val="000000"/>
          <w:spacing w:val="0"/>
          <w:w w:val="100"/>
          <w:position w:val="0"/>
          <w:sz w:val="24"/>
          <w:szCs w:val="24"/>
          <w:shd w:val="clear" w:color="auto" w:fill="auto"/>
          <w:vertAlign w:val="subscript"/>
          <w:lang w:val="en-US" w:eastAsia="en-US" w:bidi="en-US"/>
        </w:rPr>
        <w:t>4</w:t>
      </w:r>
      <w:r>
        <w:rPr>
          <w:rFonts w:hint="eastAsia" w:asciiTheme="minorEastAsia" w:hAnsiTheme="minorEastAsia" w:eastAsiaTheme="minorEastAsia" w:cstheme="minorEastAsia"/>
          <w:color w:val="000000"/>
          <w:spacing w:val="0"/>
          <w:w w:val="100"/>
          <w:position w:val="0"/>
          <w:sz w:val="24"/>
          <w:szCs w:val="24"/>
          <w:shd w:val="clear" w:color="auto" w:fill="auto"/>
        </w:rPr>
        <w:t>分别为1/6、1/6、</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3/6</w:t>
      </w:r>
      <w:r>
        <w:rPr>
          <w:rFonts w:hint="eastAsia" w:asciiTheme="minorEastAsia" w:hAnsiTheme="minorEastAsia" w:eastAsiaTheme="minorEastAsia" w:cstheme="minorEastAsia"/>
          <w:color w:val="000000"/>
          <w:spacing w:val="0"/>
          <w:w w:val="100"/>
          <w:position w:val="0"/>
          <w:sz w:val="24"/>
          <w:szCs w:val="24"/>
          <w:shd w:val="clear" w:color="auto" w:fill="auto"/>
        </w:rPr>
        <w:t>和1/6。</w:t>
      </w:r>
    </w:p>
    <w:p>
      <w:pPr>
        <w:pStyle w:val="9"/>
        <w:keepNext w:val="0"/>
        <w:keepLines w:val="0"/>
        <w:widowControl w:val="0"/>
        <w:shd w:val="clear" w:color="auto" w:fill="auto"/>
        <w:bidi w:val="0"/>
        <w:spacing w:before="0" w:after="0" w:line="311" w:lineRule="exact"/>
        <w:ind w:righ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2</w:t>
      </w:r>
      <w:r>
        <w:rPr>
          <w:rFonts w:hint="eastAsia" w:asciiTheme="minorEastAsia" w:hAnsiTheme="minorEastAsia" w:eastAsiaTheme="minorEastAsia" w:cstheme="minorEastAsia"/>
          <w:color w:val="000000"/>
          <w:spacing w:val="0"/>
          <w:w w:val="100"/>
          <w:position w:val="0"/>
          <w:sz w:val="24"/>
          <w:szCs w:val="24"/>
          <w:shd w:val="clear" w:color="auto" w:fill="auto"/>
        </w:rPr>
        <w:t>）征求省域剖面样点数量意见。</w:t>
      </w:r>
    </w:p>
    <w:p>
      <w:pPr>
        <w:pStyle w:val="9"/>
        <w:keepNext w:val="0"/>
        <w:keepLines w:val="0"/>
        <w:widowControl w:val="0"/>
        <w:shd w:val="clear" w:color="auto" w:fill="auto"/>
        <w:bidi w:val="0"/>
        <w:spacing w:before="0" w:after="0" w:line="311"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以省域剖面样点基数为基础参考，进一步征求各省专家和省级土壤普查办意见，从服务于各级土种志撰写的角度出发，确定各省市剖面样点数量及编制的土种志级别。</w:t>
      </w:r>
    </w:p>
    <w:p>
      <w:pPr>
        <w:pStyle w:val="9"/>
        <w:keepNext w:val="0"/>
        <w:keepLines w:val="0"/>
        <w:widowControl w:val="0"/>
        <w:shd w:val="clear" w:color="auto" w:fill="auto"/>
        <w:bidi w:val="0"/>
        <w:spacing w:before="0" w:after="0" w:line="317" w:lineRule="exact"/>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4.3.4.2  </w:t>
      </w:r>
      <w:r>
        <w:rPr>
          <w:rFonts w:hint="eastAsia" w:asciiTheme="majorEastAsia" w:hAnsiTheme="majorEastAsia" w:eastAsiaTheme="majorEastAsia" w:cstheme="majorEastAsia"/>
          <w:b/>
          <w:bCs/>
          <w:color w:val="000000"/>
          <w:spacing w:val="0"/>
          <w:w w:val="100"/>
          <w:position w:val="0"/>
          <w:sz w:val="24"/>
          <w:szCs w:val="24"/>
          <w:shd w:val="clear" w:color="auto" w:fill="auto"/>
        </w:rPr>
        <w:t>确定各土种样点数量</w:t>
      </w:r>
    </w:p>
    <w:p>
      <w:pPr>
        <w:pStyle w:val="9"/>
        <w:keepNext w:val="0"/>
        <w:keepLines w:val="0"/>
        <w:widowControl w:val="0"/>
        <w:shd w:val="clear" w:color="auto" w:fill="auto"/>
        <w:bidi w:val="0"/>
        <w:spacing w:before="0" w:after="0" w:line="317"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计算各土种面积。</w:t>
      </w:r>
    </w:p>
    <w:p>
      <w:pPr>
        <w:pStyle w:val="9"/>
        <w:keepNext w:val="0"/>
        <w:keepLines w:val="0"/>
        <w:widowControl w:val="0"/>
        <w:shd w:val="clear" w:color="auto" w:fill="auto"/>
        <w:bidi w:val="0"/>
        <w:spacing w:before="0" w:after="0" w:line="317"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计算各土种图斑的面积和各土种总面积。对省域内无土种图的区域，一般使用土属图，依据各地景观特征，使用成土母质和地形变量对土属图斑进行分解，得到土种图斑。</w:t>
      </w:r>
    </w:p>
    <w:p>
      <w:pPr>
        <w:pStyle w:val="9"/>
        <w:keepNext w:val="0"/>
        <w:keepLines w:val="0"/>
        <w:widowControl w:val="0"/>
        <w:numPr>
          <w:ilvl w:val="0"/>
          <w:numId w:val="2"/>
        </w:numPr>
        <w:shd w:val="clear" w:color="auto" w:fill="auto"/>
        <w:bidi w:val="0"/>
        <w:spacing w:before="0" w:after="0" w:line="317" w:lineRule="exact"/>
        <w:ind w:left="0" w:leftChars="0" w:right="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根据面积分配样点。</w:t>
      </w:r>
    </w:p>
    <w:p>
      <w:pPr>
        <w:pStyle w:val="9"/>
        <w:keepNext w:val="0"/>
        <w:keepLines w:val="0"/>
        <w:widowControl w:val="0"/>
        <w:shd w:val="clear" w:color="auto" w:fill="auto"/>
        <w:bidi w:val="0"/>
        <w:spacing w:before="0" w:after="0" w:line="314"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将土种按面积由大到小排序，根据样点预布设样点数量和土种数量分配样点。当预布设样点数量</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土种数量时，按土种面积从大到小逐个土种分配1个样点，直至分完为止；当预布设样点数量＞土种数量时，按照土种面积从大到小，依次对各土种进行样点分配，往返循环直至样点分配结束。</w:t>
      </w:r>
    </w:p>
    <w:p>
      <w:pPr>
        <w:pStyle w:val="9"/>
        <w:keepNext w:val="0"/>
        <w:keepLines w:val="0"/>
        <w:widowControl w:val="0"/>
        <w:shd w:val="clear" w:color="auto" w:fill="auto"/>
        <w:bidi w:val="0"/>
        <w:spacing w:before="0" w:after="0" w:line="314" w:lineRule="exact"/>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4.3.4.</w:t>
      </w:r>
      <w:r>
        <w:rPr>
          <w:rFonts w:hint="eastAsia" w:asciiTheme="majorEastAsia" w:hAnsiTheme="majorEastAsia" w:eastAsiaTheme="majorEastAsia" w:cstheme="majorEastAsia"/>
          <w:b/>
          <w:bCs/>
          <w:color w:val="000000"/>
          <w:spacing w:val="0"/>
          <w:w w:val="100"/>
          <w:position w:val="0"/>
          <w:sz w:val="24"/>
          <w:szCs w:val="24"/>
          <w:shd w:val="clear" w:color="auto" w:fill="auto"/>
        </w:rPr>
        <w:t>3</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筛选各土种的代表性图斑</w:t>
      </w:r>
    </w:p>
    <w:p>
      <w:pPr>
        <w:pStyle w:val="9"/>
        <w:keepNext w:val="0"/>
        <w:keepLines w:val="0"/>
        <w:widowControl w:val="0"/>
        <w:shd w:val="clear" w:color="auto" w:fill="auto"/>
        <w:bidi w:val="0"/>
        <w:spacing w:before="0" w:after="0" w:line="314"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统计各土种图斑的潜在野外可达性级别。</w:t>
      </w:r>
    </w:p>
    <w:p>
      <w:pPr>
        <w:pStyle w:val="9"/>
        <w:keepNext w:val="0"/>
        <w:keepLines w:val="0"/>
        <w:widowControl w:val="0"/>
        <w:shd w:val="clear" w:color="auto" w:fill="auto"/>
        <w:bidi w:val="0"/>
        <w:spacing w:before="0" w:after="0" w:line="314"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根据潜在野外可达性图层，统计各土种图斑(含“土种”图斑)的道路可达性级别，认定其道路可达性的最高级别为该图斑的道路可达性级别。</w:t>
      </w:r>
    </w:p>
    <w:p>
      <w:pPr>
        <w:pStyle w:val="9"/>
        <w:keepNext w:val="0"/>
        <w:keepLines w:val="0"/>
        <w:widowControl w:val="0"/>
        <w:numPr>
          <w:ilvl w:val="0"/>
          <w:numId w:val="0"/>
        </w:numPr>
        <w:shd w:val="clear" w:color="auto" w:fill="auto"/>
        <w:bidi w:val="0"/>
        <w:spacing w:before="0" w:after="0" w:line="314" w:lineRule="exact"/>
        <w:ind w:left="440" w:leftChars="0" w:right="0" w:right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2</w:t>
      </w:r>
      <w:r>
        <w:rPr>
          <w:rFonts w:hint="eastAsia" w:asciiTheme="minorEastAsia" w:hAnsiTheme="minorEastAsia" w:eastAsiaTheme="minorEastAsia" w:cstheme="minorEastAsia"/>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确定各土种的代表性地类。</w:t>
      </w:r>
    </w:p>
    <w:p>
      <w:pPr>
        <w:pStyle w:val="9"/>
        <w:keepNext w:val="0"/>
        <w:keepLines w:val="0"/>
        <w:widowControl w:val="0"/>
        <w:shd w:val="clear" w:color="auto" w:fill="auto"/>
        <w:bidi w:val="0"/>
        <w:spacing w:before="0" w:after="0" w:line="314"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统计各土种所有图斑中，面积最大的地类作为该土种的最代表地类，面积第二大的地类作为次代表地类，面积第三大的地类作为次代表地类。依此类推，确定各土种的代表性地类列表。</w:t>
      </w:r>
    </w:p>
    <w:p>
      <w:pPr>
        <w:pStyle w:val="9"/>
        <w:keepNext w:val="0"/>
        <w:keepLines w:val="0"/>
        <w:widowControl w:val="0"/>
        <w:numPr>
          <w:ilvl w:val="0"/>
          <w:numId w:val="2"/>
        </w:numPr>
        <w:shd w:val="clear" w:color="auto" w:fill="auto"/>
        <w:bidi w:val="0"/>
        <w:spacing w:before="0" w:after="0" w:line="314" w:lineRule="exact"/>
        <w:ind w:left="0" w:leftChars="0" w:right="0" w:rightChars="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依据代表性地类、图斑面积和潜在野外可达性级别筛选代表性图斑。</w:t>
      </w:r>
    </w:p>
    <w:p>
      <w:pPr>
        <w:pStyle w:val="9"/>
        <w:keepNext w:val="0"/>
        <w:keepLines w:val="0"/>
        <w:widowControl w:val="0"/>
        <w:shd w:val="clear" w:color="auto" w:fill="auto"/>
        <w:bidi w:val="0"/>
        <w:spacing w:before="0" w:after="0" w:line="314"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基于地类代表性级别优先、覆盖不同主要地类的原则，挑选各土种系列图斑中，面积最大、潜在野外可达性级别最高的图斑作为其代表性图斑。若该土种分配1个样点，则选择其最代表地类面积最大、潜在野外可达性最高的图斑作为该土种的代表性图斑；若该土种分配样点数量超过1个，则依据其代表性地类名单，考虑覆盖不同主要地类的原则，筛选代表性图斑。</w:t>
      </w:r>
    </w:p>
    <w:p>
      <w:pPr>
        <w:pStyle w:val="9"/>
        <w:keepNext w:val="0"/>
        <w:keepLines w:val="0"/>
        <w:widowControl w:val="0"/>
        <w:shd w:val="clear" w:color="auto" w:fill="auto"/>
        <w:bidi w:val="0"/>
        <w:spacing w:before="0" w:after="0" w:line="314" w:lineRule="exact"/>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4.3.4.</w:t>
      </w:r>
      <w:r>
        <w:rPr>
          <w:rFonts w:hint="eastAsia" w:asciiTheme="majorEastAsia" w:hAnsiTheme="majorEastAsia" w:eastAsiaTheme="majorEastAsia" w:cstheme="majorEastAsia"/>
          <w:b/>
          <w:bCs/>
          <w:color w:val="000000"/>
          <w:spacing w:val="0"/>
          <w:w w:val="100"/>
          <w:position w:val="0"/>
          <w:sz w:val="24"/>
          <w:szCs w:val="24"/>
          <w:shd w:val="clear" w:color="auto" w:fill="auto"/>
        </w:rPr>
        <w:t>4</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识别各土种的典型景观部位</w:t>
      </w:r>
    </w:p>
    <w:p>
      <w:pPr>
        <w:pStyle w:val="9"/>
        <w:keepNext w:val="0"/>
        <w:keepLines w:val="0"/>
        <w:widowControl w:val="0"/>
        <w:shd w:val="clear" w:color="auto" w:fill="auto"/>
        <w:bidi w:val="0"/>
        <w:spacing w:before="0" w:after="0" w:line="314"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有了各土种代表性图斑之后，通过对图斑内土种的成土环境条件进行属性空间和地理空间数据分析，识别该土种的典型景观部位，确定样点位置。</w:t>
      </w:r>
    </w:p>
    <w:p>
      <w:pPr>
        <w:pStyle w:val="9"/>
        <w:keepNext w:val="0"/>
        <w:keepLines w:val="0"/>
        <w:widowControl w:val="0"/>
        <w:numPr>
          <w:ilvl w:val="0"/>
          <w:numId w:val="3"/>
        </w:numPr>
        <w:shd w:val="clear" w:color="auto" w:fill="auto"/>
        <w:bidi w:val="0"/>
        <w:spacing w:before="0" w:after="0" w:line="314"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识别各土种的典型成土环境条件。</w:t>
      </w:r>
    </w:p>
    <w:p>
      <w:pPr>
        <w:pStyle w:val="9"/>
        <w:keepNext w:val="0"/>
        <w:keepLines w:val="0"/>
        <w:widowControl w:val="0"/>
        <w:shd w:val="clear" w:color="auto" w:fill="auto"/>
        <w:bidi w:val="0"/>
        <w:spacing w:before="0" w:after="0" w:line="314"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在每个土种的所有图斑范围内，对关键成土因素变量进行频率分析，识别其最高频数至最高频数 1/2范围对应的数值区间，作为该成土环境的典型环境数值区间。</w:t>
      </w:r>
    </w:p>
    <w:p>
      <w:pPr>
        <w:pStyle w:val="9"/>
        <w:keepNext w:val="0"/>
        <w:keepLines w:val="0"/>
        <w:widowControl w:val="0"/>
        <w:numPr>
          <w:ilvl w:val="0"/>
          <w:numId w:val="3"/>
        </w:numPr>
        <w:shd w:val="clear" w:color="auto" w:fill="auto"/>
        <w:bidi w:val="0"/>
        <w:spacing w:before="0" w:after="0" w:line="314" w:lineRule="exact"/>
        <w:ind w:left="0" w:leftChars="0" w:right="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识别土种的典型景观部位区。</w:t>
      </w:r>
    </w:p>
    <w:p>
      <w:pPr>
        <w:pStyle w:val="9"/>
        <w:keepNext w:val="0"/>
        <w:keepLines w:val="0"/>
        <w:widowControl w:val="0"/>
        <w:shd w:val="clear" w:color="auto" w:fill="auto"/>
        <w:bidi w:val="0"/>
        <w:spacing w:before="0" w:after="0" w:line="314"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在典型环境数值区间将属性空间映射到地理空间上，确定各土种各个关键环境变量的典型地理空间区域，生成多个典型环境条件图层，对这些图层进行空间求交，得到公共的地理范围区，即典型景 观部位区。</w:t>
      </w:r>
    </w:p>
    <w:p>
      <w:pPr>
        <w:pStyle w:val="9"/>
        <w:keepNext w:val="0"/>
        <w:keepLines w:val="0"/>
        <w:widowControl w:val="0"/>
        <w:numPr>
          <w:ilvl w:val="0"/>
          <w:numId w:val="3"/>
        </w:numPr>
        <w:shd w:val="clear" w:color="auto" w:fill="auto"/>
        <w:bidi w:val="0"/>
        <w:spacing w:before="0" w:after="0" w:line="314" w:lineRule="exact"/>
        <w:ind w:left="0" w:leftChars="0" w:right="0" w:firstLine="44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确定典型样点的初始位置。</w:t>
      </w:r>
    </w:p>
    <w:p>
      <w:pPr>
        <w:pStyle w:val="9"/>
        <w:keepNext w:val="0"/>
        <w:keepLines w:val="0"/>
        <w:widowControl w:val="0"/>
        <w:shd w:val="clear" w:color="auto" w:fill="auto"/>
        <w:bidi w:val="0"/>
        <w:spacing w:before="0" w:after="180" w:line="314"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基于识别的土种典型景观部位区，结合筛选的该土种的代表性图斑，叠加获取该土种代表性图斑的典型景观部位区，选择典型景观部位区中距离图斑几何中心最近的部位，作为该图斑内的初始样点位置。遍历所有土种的所有代表性图斑，完成剖面样点初始位置的确定。</w:t>
      </w:r>
    </w:p>
    <w:p>
      <w:pPr>
        <w:pStyle w:val="21"/>
        <w:keepNext/>
        <w:keepLines/>
        <w:widowControl w:val="0"/>
        <w:shd w:val="clear" w:color="auto" w:fill="auto"/>
        <w:bidi w:val="0"/>
        <w:spacing w:before="0" w:after="100" w:line="314" w:lineRule="exact"/>
        <w:ind w:left="0" w:right="0" w:firstLine="0"/>
        <w:jc w:val="left"/>
        <w:rPr>
          <w:rFonts w:hint="eastAsia" w:asciiTheme="majorEastAsia" w:hAnsiTheme="majorEastAsia" w:eastAsiaTheme="majorEastAsia" w:cstheme="majorEastAsia"/>
          <w:b/>
          <w:bCs/>
          <w:sz w:val="24"/>
          <w:szCs w:val="24"/>
        </w:rPr>
      </w:pPr>
      <w:bookmarkStart w:id="16" w:name="bookmark35"/>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4.</w:t>
      </w:r>
      <w:r>
        <w:rPr>
          <w:rFonts w:hint="eastAsia" w:asciiTheme="majorEastAsia" w:hAnsiTheme="majorEastAsia" w:eastAsiaTheme="majorEastAsia" w:cstheme="majorEastAsia"/>
          <w:b/>
          <w:bCs/>
          <w:color w:val="000000"/>
          <w:spacing w:val="0"/>
          <w:w w:val="100"/>
          <w:position w:val="0"/>
          <w:sz w:val="24"/>
          <w:szCs w:val="24"/>
          <w:shd w:val="clear" w:color="auto" w:fill="auto"/>
        </w:rPr>
        <w:t>4</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样点预布设结果的省级校核</w:t>
      </w:r>
      <w:bookmarkEnd w:id="16"/>
    </w:p>
    <w:p>
      <w:pPr>
        <w:pStyle w:val="21"/>
        <w:keepNext/>
        <w:keepLines/>
        <w:widowControl w:val="0"/>
        <w:shd w:val="clear" w:color="auto" w:fill="auto"/>
        <w:bidi w:val="0"/>
        <w:spacing w:before="0" w:after="0" w:line="317" w:lineRule="exact"/>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4.4.1</w:t>
      </w: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position w:val="0"/>
          <w:sz w:val="24"/>
          <w:szCs w:val="24"/>
          <w:shd w:val="clear" w:color="auto" w:fill="auto"/>
        </w:rPr>
        <w:t>表层样点预布设结果的省级校核</w:t>
      </w:r>
    </w:p>
    <w:p>
      <w:pPr>
        <w:pStyle w:val="9"/>
        <w:keepNext w:val="0"/>
        <w:keepLines w:val="0"/>
        <w:widowControl w:val="0"/>
        <w:shd w:val="clear" w:color="auto" w:fill="auto"/>
        <w:bidi w:val="0"/>
        <w:spacing w:before="0" w:after="0" w:line="317"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校核国家下发的样点数据完整性。对照样点信息下发清单，检查下发各县的文件数量、类型与内容是否齐全。打开样点矢量文件，核查样点坐标、属性表和整体空间分布有无异常。</w:t>
      </w:r>
    </w:p>
    <w:p>
      <w:pPr>
        <w:pStyle w:val="9"/>
        <w:keepNext w:val="0"/>
        <w:keepLines w:val="0"/>
        <w:widowControl w:val="0"/>
        <w:shd w:val="clear" w:color="auto" w:fill="auto"/>
        <w:bidi w:val="0"/>
        <w:spacing w:before="0" w:after="0" w:line="317"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校核样点的土地利用类型是否发生变化。土壤三普工作底图中土地利用现状图的时间节点为2019年12月31日，经过3年多时间，有些地区的土地利用类型发生变化，如2019年之前是耕地，现在变为林地或园地；或者原来是林地现在变为耕地。针对上述情况，需要对照土壤三普工作底图与本地现实土地利用变更信息，校核样点所在</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图斑的土地利用属性，并按照耕园地、林草盐碱地布样密度，重新布设样点。</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(3)</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校核样点的道路可达性。主要针对丘陵山地林草地样点进行道路可达性校核。利用国土三调地类图斑图层、遥感影像判断样点的道路可达性。对于到达困难的样点，需要在对应的</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图斑或与</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图斑土壤、土地利用属性相同的邻近叠加图斑内调整样点位置。若无可达位置，则删除该样点，并在耕园地上新增样点。</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(4)</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校核样点的可用性与持久性。校核表层样点实际位置是否可用于外业调查采样、是否长期可用。利用国土三调地类图斑图层、遥感影像判断样点位置的可用性与持久性，当表层样点落在建设用地、军事用地、自然保护区、城市规划区等实际无法采样或长期来看不可用的位置时，需要将其移动到与原定土地利用类型和土壤类型相同的临近图斑内。</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(5)</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校核地理标志农产品区样点数量与样点空间位置合理性。地理标志农产品区(以下简称“地标”)样点根据各省提供地理标志农产品统计表信息布设，各普查县需要根据地标材料与地标产品实际分布情况，逐一校核地标区内加密样点的地标信息是否属实。对于落入地标产品种植范围内的样点，需要校核样点的地标信息是否正确。对于未落入地标产品种植范围内的样点，需要修改相关属性将其转化为非地标样点。随后重新计算该区域内规划样点数量，若实际样点数量与规划样点数量不相等，则需要对样点进行增加或删除操作，使其满足规划样点数量。</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(6)</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校核各类型区样点密度是否与布点方案一致。校核各类型区表层样点布点密度是否符合方案要求。普查县各类型区的表层样点布点密度因土地利用类型、地形、是否存在地理标志农产品等情况不同而不同。如果某类型区实际布点密度小于方案要求布点密度，需要在该类型区内新增表层样点，使其满足方案要求。</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(7)</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校核普查县域内是否存在较大空白区域未布点。利用国土三调地类图斑图层、遥感影像,校核普查县耕园地范围内是否存在较大区域未布点，如山区沟冲田。若存在，则在其中面积较大的耕园地图斑上新增样点。</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(8)</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校核非土壤普查范围内土地利用类型区的布点合理性。校核建设用地集中区是否有样点布设。当表层样点所在位置落在建设用地集中区，且其</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入样</w:t>
      </w:r>
      <w:r>
        <w:rPr>
          <w:rFonts w:hint="eastAsia" w:asciiTheme="minorEastAsia" w:hAnsiTheme="minorEastAsia" w:eastAsiaTheme="minorEastAsia" w:cstheme="minorEastAsia"/>
          <w:color w:val="000000"/>
          <w:spacing w:val="0"/>
          <w:w w:val="100"/>
          <w:position w:val="0"/>
          <w:sz w:val="24"/>
          <w:szCs w:val="24"/>
          <w:shd w:val="clear" w:color="auto" w:fill="auto"/>
        </w:rPr>
        <w:t>图斑面积较小时(如小于</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0.1km</w:t>
      </w:r>
      <w:r>
        <w:rPr>
          <w:rFonts w:hint="eastAsia" w:asciiTheme="minorEastAsia" w:hAnsiTheme="minorEastAsia" w:eastAsiaTheme="minorEastAsia" w:cstheme="minorEastAsia"/>
          <w:color w:val="000000"/>
          <w:spacing w:val="0"/>
          <w:w w:val="100"/>
          <w:position w:val="0"/>
          <w:sz w:val="24"/>
          <w:szCs w:val="24"/>
          <w:shd w:val="clear" w:color="auto" w:fill="auto"/>
          <w:vertAlign w:val="superscript"/>
          <w:lang w:val="en-US" w:eastAsia="en-US" w:bidi="en-US"/>
        </w:rPr>
        <w:t>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w:t>
      </w:r>
      <w:r>
        <w:rPr>
          <w:rFonts w:hint="eastAsia" w:asciiTheme="minorEastAsia" w:hAnsiTheme="minorEastAsia" w:eastAsiaTheme="minorEastAsia" w:cstheme="minorEastAsia"/>
          <w:color w:val="000000"/>
          <w:spacing w:val="0"/>
          <w:w w:val="100"/>
          <w:position w:val="0"/>
          <w:sz w:val="24"/>
          <w:szCs w:val="24"/>
          <w:shd w:val="clear" w:color="auto" w:fill="auto"/>
        </w:rPr>
        <w:t>需要将该样点删除。</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(9)</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 xml:space="preserve">  </w:t>
      </w:r>
      <w:r>
        <w:rPr>
          <w:rFonts w:hint="eastAsia" w:asciiTheme="minorEastAsia" w:hAnsiTheme="minorEastAsia" w:eastAsiaTheme="minorEastAsia" w:cstheme="minorEastAsia"/>
          <w:color w:val="000000"/>
          <w:spacing w:val="0"/>
          <w:w w:val="100"/>
          <w:position w:val="0"/>
          <w:sz w:val="24"/>
          <w:szCs w:val="24"/>
          <w:shd w:val="clear" w:color="auto" w:fill="auto"/>
        </w:rPr>
        <w:t>校核样点是否靠近土壤污染源。当表层样点距离工业用地、采矿用地等疑似土壤污染源较近时,原则上要保留该样点,并与生态环境部已开展的全国土壤污染详查点位衔接,两者的距离较近时(如小于</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50m),</w:t>
      </w:r>
      <w:r>
        <w:rPr>
          <w:rFonts w:hint="eastAsia" w:asciiTheme="minorEastAsia" w:hAnsiTheme="minorEastAsia" w:eastAsiaTheme="minorEastAsia" w:cstheme="minorEastAsia"/>
          <w:color w:val="000000"/>
          <w:spacing w:val="0"/>
          <w:w w:val="100"/>
          <w:position w:val="0"/>
          <w:sz w:val="24"/>
          <w:szCs w:val="24"/>
          <w:shd w:val="clear" w:color="auto" w:fill="auto"/>
        </w:rPr>
        <w:t>可选择土壤污染详查点位作为样点位置。</w:t>
      </w:r>
    </w:p>
    <w:p>
      <w:pPr>
        <w:pStyle w:val="21"/>
        <w:keepNext/>
        <w:keepLines/>
        <w:widowControl w:val="0"/>
        <w:shd w:val="clear" w:color="auto" w:fill="auto"/>
        <w:bidi w:val="0"/>
        <w:spacing w:before="0" w:after="0" w:line="316" w:lineRule="exact"/>
        <w:ind w:left="0" w:right="0" w:firstLine="0"/>
        <w:jc w:val="left"/>
      </w:pPr>
      <w:bookmarkStart w:id="17" w:name="bookmark38"/>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4.4.2</w:t>
      </w:r>
      <w:r>
        <w:rPr>
          <w:rFonts w:hint="eastAsia" w:asciiTheme="majorEastAsia" w:hAnsiTheme="majorEastAsia" w:eastAsiaTheme="majorEastAsia" w:cstheme="majorEastAsia"/>
          <w:b/>
          <w:bCs/>
          <w:color w:val="000000"/>
          <w:spacing w:val="0"/>
          <w:w w:val="100"/>
          <w:position w:val="0"/>
          <w:sz w:val="24"/>
          <w:szCs w:val="24"/>
          <w:shd w:val="clear" w:color="auto" w:fill="auto"/>
        </w:rPr>
        <w:t>剖面样点预布设结果的省级校核</w:t>
      </w:r>
      <w:bookmarkEnd w:id="17"/>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color w:val="000000"/>
          <w:spacing w:val="0"/>
          <w:w w:val="100"/>
          <w:position w:val="0"/>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rPr>
        <w:t>1)检查样点的代表性。主要是检查样点的宏观代表性和局地代表性，宏观代表性主要是室内检查样点是否覆盖了省域内主要成土环境和土壤类型,同时也应当兼顾土壤类型的农业重要性,在地市级行政范围上，每个土种(属)类型至少有1个样点，且样点位于该土壤类型的主要分布区域。局地代表性主要是检查样点所在的景观部位(地形部位、海拔、坡度等)是否是其土壤类型的典型景观部位。</w:t>
      </w:r>
    </w:p>
    <w:p>
      <w:pPr>
        <w:pStyle w:val="9"/>
        <w:keepNext w:val="0"/>
        <w:keepLines w:val="0"/>
        <w:widowControl w:val="0"/>
        <w:shd w:val="clear" w:color="auto" w:fill="auto"/>
        <w:bidi w:val="0"/>
        <w:spacing w:before="0" w:after="0" w:line="316"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(2)检查样点的土地利用情况。主要是检查样点的土地利用方式，样点应尽量远离人为活动频繁地区、城镇道路、沟渠坑塘、污染源等周边区域,进一步判断样点土地利用类型与实际土地利用类型是否一致,若样点位置的土地利用类型发生了变更,且这种变更在土壤图斑内的面积百分比小于50%(非主导)，应将样点位置调整到土壤图斑内原土地利用类型上；若土壤图斑内的土地利用类型变更面积大于50％,且引起了土壤类型的变化,则需要将该样点调整至相同土种的次要图斑(面积次要)上。</w:t>
      </w:r>
    </w:p>
    <w:p>
      <w:pPr>
        <w:pStyle w:val="9"/>
        <w:keepNext w:val="0"/>
        <w:keepLines w:val="0"/>
        <w:widowControl w:val="0"/>
        <w:shd w:val="clear" w:color="auto" w:fill="auto"/>
        <w:bidi w:val="0"/>
        <w:spacing w:before="0" w:after="0" w:line="317" w:lineRule="exact"/>
        <w:ind w:left="0" w:right="0" w:firstLine="440"/>
        <w:jc w:val="both"/>
        <w:rPr>
          <w:rFonts w:hint="eastAsia" w:asciiTheme="minorEastAsia" w:hAnsiTheme="minorEastAsia" w:eastAsiaTheme="minorEastAsia" w:cstheme="minorEastAsia"/>
          <w:sz w:val="24"/>
          <w:szCs w:val="24"/>
        </w:rPr>
        <w:sectPr>
          <w:headerReference r:id="rId11" w:type="first"/>
          <w:footerReference r:id="rId14" w:type="first"/>
          <w:headerReference r:id="rId9" w:type="default"/>
          <w:footerReference r:id="rId12" w:type="default"/>
          <w:headerReference r:id="rId10" w:type="even"/>
          <w:footerReference r:id="rId13" w:type="even"/>
          <w:footnotePr>
            <w:numFmt w:val="decimal"/>
          </w:footnotePr>
          <w:pgSz w:w="11900" w:h="16840"/>
          <w:pgMar w:top="1384" w:right="1310" w:bottom="1320" w:left="1312" w:header="0" w:footer="3" w:gutter="0"/>
          <w:cols w:space="720" w:num="1"/>
          <w:titlePg/>
          <w:rtlGutter w:val="0"/>
          <w:docGrid w:linePitch="360" w:charSpace="0"/>
        </w:sectPr>
      </w:pPr>
      <w:r>
        <w:rPr>
          <w:rFonts w:hint="eastAsia" w:asciiTheme="minorEastAsia" w:hAnsiTheme="minorEastAsia" w:eastAsiaTheme="minorEastAsia" w:cstheme="minorEastAsia"/>
          <w:color w:val="000000"/>
          <w:spacing w:val="0"/>
          <w:w w:val="100"/>
          <w:position w:val="0"/>
          <w:sz w:val="24"/>
          <w:szCs w:val="24"/>
          <w:shd w:val="clear" w:color="auto" w:fill="auto"/>
        </w:rPr>
        <w:t>(3)检查土壤类型改变区样点覆盖并进行必要补点。根据水改旱、旱改水、新增耕地(2000年以来)、土壤改良、土地平整等分布数据,获取变更年限信息,检查下发样点对这些土壤类型改变区的覆盖情况。对于样点覆盖区域不足的，适当补充一定数量的代表性样点。主要从变更方式(例如旱改水)和变更年限(例如20年)两方面综合考虑代表性。</w:t>
      </w:r>
    </w:p>
    <w:p>
      <w:pPr>
        <w:pStyle w:val="9"/>
        <w:keepNext w:val="0"/>
        <w:keepLines w:val="0"/>
        <w:widowControl w:val="0"/>
        <w:shd w:val="clear" w:color="auto" w:fill="auto"/>
        <w:bidi w:val="0"/>
        <w:spacing w:before="0" w:after="0" w:line="320"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（4）检查样点的野外可达性。基于潜在野外可达性图层、遥感影像、道路网、当地野外土壤调查专家经验或实地查看，确定样点位置是否可以到达。</w:t>
      </w:r>
    </w:p>
    <w:p>
      <w:pPr>
        <w:pStyle w:val="9"/>
        <w:keepNext w:val="0"/>
        <w:keepLines w:val="0"/>
        <w:widowControl w:val="0"/>
        <w:shd w:val="clear" w:color="auto" w:fill="auto"/>
        <w:bidi w:val="0"/>
        <w:spacing w:before="0" w:after="180" w:line="320"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（5）检查样点土壤类型名称正确性，以及是否满足各级（县级、地市级或省级）土种志编制。基于</w:t>
      </w:r>
      <w:r>
        <w:rPr>
          <w:rFonts w:hint="eastAsia" w:asciiTheme="minorEastAsia" w:hAnsiTheme="minorEastAsia" w:eastAsiaTheme="minorEastAsia" w:cstheme="minorEastAsia"/>
          <w:color w:val="000000"/>
          <w:spacing w:val="0"/>
          <w:w w:val="100"/>
          <w:position w:val="0"/>
          <w:sz w:val="24"/>
          <w:szCs w:val="24"/>
          <w:shd w:val="clear" w:color="auto" w:fill="auto"/>
          <w:lang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第三次全国土壤普查暂行土壤分类系统（试行）》，检查土壤类型名称的正确性，对于各级土种志编制，主要检查样点的土壤类型是否包含了该行政区级别内所有主要的土壤类型，若样点数量小于该级别主要土壤类型数量的，应从土壤类型和样点数量两方面进行补充。</w:t>
      </w:r>
    </w:p>
    <w:p>
      <w:pPr>
        <w:pStyle w:val="9"/>
        <w:keepNext w:val="0"/>
        <w:keepLines w:val="0"/>
        <w:widowControl w:val="0"/>
        <w:shd w:val="clear" w:color="auto" w:fill="auto"/>
        <w:bidi w:val="0"/>
        <w:spacing w:before="0" w:after="80" w:line="276" w:lineRule="auto"/>
        <w:ind w:left="0" w:right="0" w:firstLine="0"/>
        <w:jc w:val="left"/>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 xml:space="preserve">4. </w:t>
      </w:r>
      <w:r>
        <w:rPr>
          <w:rFonts w:hint="eastAsia" w:asciiTheme="majorEastAsia" w:hAnsiTheme="majorEastAsia" w:eastAsiaTheme="majorEastAsia" w:cstheme="majorEastAsia"/>
          <w:b/>
          <w:bCs/>
          <w:color w:val="000000"/>
          <w:spacing w:val="0"/>
          <w:w w:val="100"/>
          <w:position w:val="0"/>
          <w:sz w:val="24"/>
          <w:szCs w:val="24"/>
          <w:shd w:val="clear" w:color="auto" w:fill="auto"/>
        </w:rPr>
        <w:t>5样点编码赋值</w:t>
      </w:r>
    </w:p>
    <w:p>
      <w:pPr>
        <w:pStyle w:val="9"/>
        <w:keepNext w:val="0"/>
        <w:keepLines w:val="0"/>
        <w:widowControl w:val="0"/>
        <w:shd w:val="clear" w:color="auto" w:fill="auto"/>
        <w:bidi w:val="0"/>
        <w:spacing w:before="0" w:after="0" w:line="315"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根据已有的地理空间编码规则定制化土壤样点编码，形成不同层级的网格编码、采集点编码等具备空间地理信息的样点编码。编码方式为县级行政区域代码（采用</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en-US" w:bidi="en-US"/>
        </w:rPr>
        <w:t>GB/T 2260—2007</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bidi="en-US"/>
        </w:rPr>
        <w:t>《</w:t>
      </w:r>
      <w:r>
        <w:rPr>
          <w:rFonts w:hint="eastAsia" w:asciiTheme="minorEastAsia" w:hAnsiTheme="minorEastAsia" w:eastAsiaTheme="minorEastAsia" w:cstheme="minorEastAsia"/>
          <w:color w:val="000000"/>
          <w:spacing w:val="0"/>
          <w:w w:val="100"/>
          <w:position w:val="0"/>
          <w:sz w:val="24"/>
          <w:szCs w:val="24"/>
          <w:shd w:val="clear" w:color="auto" w:fill="auto"/>
        </w:rPr>
        <w:t>中华人民共和国行政区划代码》，无县级行政区域的采用市级代码）</w:t>
      </w:r>
      <w:r>
        <w:rPr>
          <w:rFonts w:hint="eastAsia" w:asciiTheme="minorEastAsia" w:hAnsiTheme="minorEastAsia" w:eastAsiaTheme="minorEastAsia" w:cstheme="minorEastAsia"/>
          <w:b/>
          <w:bCs/>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rPr>
        <w:t>土地利用类型4位</w:t>
      </w:r>
      <w:r>
        <w:rPr>
          <w:rFonts w:hint="eastAsia" w:asciiTheme="minorEastAsia" w:hAnsiTheme="minorEastAsia" w:eastAsiaTheme="minorEastAsia" w:cstheme="minorEastAsia"/>
          <w:b/>
          <w:bCs/>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rPr>
        <w:t>样点类型1位</w:t>
      </w:r>
      <w:r>
        <w:rPr>
          <w:rFonts w:hint="eastAsia" w:asciiTheme="minorEastAsia" w:hAnsiTheme="minorEastAsia" w:eastAsiaTheme="minorEastAsia" w:cstheme="minorEastAsia"/>
          <w:b/>
          <w:bCs/>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rPr>
        <w:t>序号5位（如00001……）</w:t>
      </w:r>
      <w:r>
        <w:rPr>
          <w:rFonts w:hint="eastAsia" w:asciiTheme="minorEastAsia" w:hAnsiTheme="minorEastAsia" w:eastAsiaTheme="minorEastAsia" w:cstheme="minorEastAsia"/>
          <w:b/>
          <w:bCs/>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rPr>
        <w:t>样品类型1位（一般样品为1,容重样品为2,水稳性大团聚体样品为3）</w:t>
      </w:r>
      <w:r>
        <w:rPr>
          <w:rFonts w:hint="eastAsia" w:asciiTheme="minorEastAsia" w:hAnsiTheme="minorEastAsia" w:eastAsiaTheme="minorEastAsia" w:cstheme="minorEastAsia"/>
          <w:b/>
          <w:bCs/>
          <w:color w:val="000000"/>
          <w:spacing w:val="0"/>
          <w:w w:val="100"/>
          <w:position w:val="0"/>
          <w:sz w:val="24"/>
          <w:szCs w:val="24"/>
          <w:shd w:val="clear" w:color="auto" w:fill="auto"/>
        </w:rPr>
        <w:t>+</w:t>
      </w:r>
      <w:r>
        <w:rPr>
          <w:rFonts w:hint="eastAsia" w:asciiTheme="minorEastAsia" w:hAnsiTheme="minorEastAsia" w:eastAsiaTheme="minorEastAsia" w:cstheme="minorEastAsia"/>
          <w:color w:val="000000"/>
          <w:spacing w:val="0"/>
          <w:w w:val="100"/>
          <w:position w:val="0"/>
          <w:sz w:val="24"/>
          <w:szCs w:val="24"/>
          <w:shd w:val="clear" w:color="auto" w:fill="auto"/>
        </w:rPr>
        <w:t>样品层次序号（表层样品为0,剖面样品为发生层序号），共18位。每一预设样点，均给予一个编码，该样点编码将作为外业调查采样、内业测试化验、数据汇总分析等普查工作唯一信息溯源码。其编码方法为:</w:t>
      </w:r>
    </w:p>
    <w:p>
      <w:pPr>
        <w:pStyle w:val="9"/>
        <w:keepNext w:val="0"/>
        <w:keepLines w:val="0"/>
        <w:widowControl w:val="0"/>
        <w:shd w:val="clear" w:color="auto" w:fill="auto"/>
        <w:bidi w:val="0"/>
        <w:spacing w:before="0" w:after="0" w:line="315" w:lineRule="exact"/>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编码第1</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6位为县级的全国各地行政区划代码，含前2位的省级编码；</w:t>
      </w:r>
    </w:p>
    <w:p>
      <w:pPr>
        <w:pStyle w:val="9"/>
        <w:keepNext w:val="0"/>
        <w:keepLines w:val="0"/>
        <w:widowControl w:val="0"/>
        <w:shd w:val="clear" w:color="auto" w:fill="auto"/>
        <w:bidi w:val="0"/>
        <w:spacing w:before="0" w:after="0" w:line="315"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编码第7</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10位为土地利用类型,参照国土三调土地利用类型的4位数字编码,即土地利用类型一级分类的2位数字,二级分类的2位数字；</w:t>
      </w:r>
    </w:p>
    <w:p>
      <w:pPr>
        <w:pStyle w:val="9"/>
        <w:keepNext w:val="0"/>
        <w:keepLines w:val="0"/>
        <w:widowControl w:val="0"/>
        <w:shd w:val="clear" w:color="auto" w:fill="auto"/>
        <w:bidi w:val="0"/>
        <w:spacing w:before="0" w:after="0" w:line="315" w:lineRule="exact"/>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编码第11位为样品类别,表层样为0,剖面样为1；</w:t>
      </w:r>
    </w:p>
    <w:p>
      <w:pPr>
        <w:pStyle w:val="9"/>
        <w:keepNext w:val="0"/>
        <w:keepLines w:val="0"/>
        <w:widowControl w:val="0"/>
        <w:shd w:val="clear" w:color="auto" w:fill="auto"/>
        <w:bidi w:val="0"/>
        <w:spacing w:before="0" w:after="0" w:line="315" w:lineRule="exact"/>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编码第12</w:t>
      </w:r>
      <w:r>
        <w:rPr>
          <w:rFonts w:hint="eastAsia" w:asciiTheme="minorEastAsia" w:hAnsiTheme="minorEastAsia" w:eastAsiaTheme="minorEastAsia" w:cstheme="minorEastAsia"/>
          <w:color w:val="000000"/>
          <w:spacing w:val="0"/>
          <w:w w:val="100"/>
          <w:position w:val="0"/>
          <w:sz w:val="24"/>
          <w:szCs w:val="24"/>
          <w:shd w:val="clear" w:color="auto" w:fill="auto"/>
          <w:lang w:val="en-US" w:eastAsia="zh-CN"/>
        </w:rPr>
        <w:t>～</w:t>
      </w:r>
      <w:r>
        <w:rPr>
          <w:rFonts w:hint="eastAsia" w:asciiTheme="minorEastAsia" w:hAnsiTheme="minorEastAsia" w:eastAsiaTheme="minorEastAsia" w:cstheme="minorEastAsia"/>
          <w:color w:val="000000"/>
          <w:spacing w:val="0"/>
          <w:w w:val="100"/>
          <w:position w:val="0"/>
          <w:sz w:val="24"/>
          <w:szCs w:val="24"/>
          <w:shd w:val="clear" w:color="auto" w:fill="auto"/>
        </w:rPr>
        <w:t>16位为县级样点顺序码,由普查工作平台生成该顺序码；</w:t>
      </w:r>
    </w:p>
    <w:p>
      <w:pPr>
        <w:pStyle w:val="9"/>
        <w:keepNext w:val="0"/>
        <w:keepLines w:val="0"/>
        <w:widowControl w:val="0"/>
        <w:shd w:val="clear" w:color="auto" w:fill="auto"/>
        <w:bidi w:val="0"/>
        <w:spacing w:before="0" w:after="0" w:line="315"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编码第17位为样品类型,表层土壤样品为1,容重土壤样品为2,水稳性大团聚体样品为3；</w:t>
      </w:r>
    </w:p>
    <w:p>
      <w:pPr>
        <w:pStyle w:val="9"/>
        <w:keepNext w:val="0"/>
        <w:keepLines w:val="0"/>
        <w:widowControl w:val="0"/>
        <w:shd w:val="clear" w:color="auto" w:fill="auto"/>
        <w:bidi w:val="0"/>
        <w:spacing w:before="0" w:after="0" w:line="315"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编码第18位为样品层次序号,表层土壤样品为0；剖面土壤样品为发生层由上及下的序号,第一发生层为1,第二发生层为2,第三发生层为3,第四发生层为4,第五发生层为5,第六发生层为6。</w:t>
      </w:r>
    </w:p>
    <w:p>
      <w:pPr>
        <w:pStyle w:val="9"/>
        <w:keepNext w:val="0"/>
        <w:keepLines w:val="0"/>
        <w:widowControl w:val="0"/>
        <w:shd w:val="clear" w:color="auto" w:fill="auto"/>
        <w:bidi w:val="0"/>
        <w:spacing w:before="0" w:after="180" w:line="315" w:lineRule="exact"/>
        <w:ind w:left="0"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样点二维码生成时，需加上样点的土壤类型信息与采样年份。</w:t>
      </w:r>
    </w:p>
    <w:p>
      <w:pPr>
        <w:pStyle w:val="21"/>
        <w:keepNext/>
        <w:keepLines/>
        <w:widowControl w:val="0"/>
        <w:shd w:val="clear" w:color="auto" w:fill="auto"/>
        <w:bidi w:val="0"/>
        <w:spacing w:before="0" w:after="80" w:line="315" w:lineRule="exact"/>
        <w:ind w:left="0" w:right="0" w:firstLine="0"/>
        <w:jc w:val="left"/>
        <w:rPr>
          <w:rFonts w:hint="eastAsia" w:asciiTheme="majorEastAsia" w:hAnsiTheme="majorEastAsia" w:eastAsiaTheme="majorEastAsia" w:cstheme="majorEastAsia"/>
          <w:b/>
          <w:bCs/>
          <w:sz w:val="24"/>
          <w:szCs w:val="24"/>
        </w:rPr>
      </w:pPr>
      <w:bookmarkStart w:id="18" w:name="bookmark40"/>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 xml:space="preserve">4. </w:t>
      </w:r>
      <w:r>
        <w:rPr>
          <w:rFonts w:hint="eastAsia" w:asciiTheme="majorEastAsia" w:hAnsiTheme="majorEastAsia" w:eastAsiaTheme="majorEastAsia" w:cstheme="majorEastAsia"/>
          <w:b/>
          <w:bCs/>
          <w:color w:val="000000"/>
          <w:spacing w:val="0"/>
          <w:w w:val="100"/>
          <w:position w:val="0"/>
          <w:sz w:val="24"/>
          <w:szCs w:val="24"/>
          <w:shd w:val="clear" w:color="auto" w:fill="auto"/>
        </w:rPr>
        <w:t>6样点信息与任务赋值</w:t>
      </w:r>
      <w:bookmarkEnd w:id="18"/>
    </w:p>
    <w:p>
      <w:pPr>
        <w:pStyle w:val="21"/>
        <w:keepNext/>
        <w:keepLines/>
        <w:widowControl w:val="0"/>
        <w:shd w:val="clear" w:color="auto" w:fill="auto"/>
        <w:bidi w:val="0"/>
        <w:spacing w:before="0" w:after="0" w:line="314" w:lineRule="exact"/>
        <w:ind w:left="0" w:right="0" w:firstLine="0"/>
        <w:jc w:val="left"/>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color w:val="000000"/>
          <w:spacing w:val="0"/>
          <w:w w:val="100"/>
          <w:position w:val="0"/>
          <w:sz w:val="24"/>
          <w:szCs w:val="24"/>
          <w:shd w:val="clear" w:color="auto" w:fill="auto"/>
          <w:lang w:val="en-US" w:eastAsia="en-US" w:bidi="en-US"/>
        </w:rPr>
        <w:t>4.6.1</w:t>
      </w:r>
      <w:r>
        <w:rPr>
          <w:rFonts w:hint="eastAsia" w:asciiTheme="majorEastAsia" w:hAnsiTheme="majorEastAsia" w:eastAsiaTheme="majorEastAsia" w:cstheme="majorEastAsia"/>
          <w:b/>
          <w:bCs/>
          <w:color w:val="000000"/>
          <w:spacing w:val="0"/>
          <w:w w:val="100"/>
          <w:position w:val="0"/>
          <w:sz w:val="24"/>
          <w:szCs w:val="24"/>
          <w:shd w:val="clear" w:color="auto" w:fill="auto"/>
        </w:rPr>
        <w:t>样点信息</w:t>
      </w:r>
    </w:p>
    <w:p>
      <w:pPr>
        <w:pStyle w:val="9"/>
        <w:keepNext w:val="0"/>
        <w:keepLines w:val="0"/>
        <w:widowControl w:val="0"/>
        <w:shd w:val="clear" w:color="auto" w:fill="auto"/>
        <w:bidi w:val="0"/>
        <w:spacing w:before="0" w:after="0" w:line="314"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每一预设样点,均给予一个编码,实行“一点一码”制度。预布设的样点编码包含行政区划代码、土地利用类型样品类别信息。同时,每一预布设样点属性表中还带有土壤类型、土地利用类型、样点类别、行政区划位置、海拔等多个独立属性字段,作为外业样点现场确认与样点调查信息填报的参考。</w:t>
      </w:r>
    </w:p>
    <w:p>
      <w:pPr>
        <w:pStyle w:val="21"/>
        <w:keepNext/>
        <w:keepLines/>
        <w:widowControl w:val="0"/>
        <w:shd w:val="clear" w:color="auto" w:fill="auto"/>
        <w:bidi w:val="0"/>
        <w:spacing w:before="0" w:after="0" w:line="314" w:lineRule="exact"/>
        <w:ind w:left="0" w:right="0" w:firstLine="0"/>
        <w:jc w:val="left"/>
        <w:rPr>
          <w:rFonts w:hint="eastAsia" w:asciiTheme="majorEastAsia" w:hAnsiTheme="majorEastAsia" w:eastAsiaTheme="majorEastAsia" w:cstheme="majorEastAsia"/>
          <w:sz w:val="24"/>
          <w:szCs w:val="24"/>
        </w:rPr>
      </w:pPr>
      <w:bookmarkStart w:id="19" w:name="bookmark43"/>
      <w:r>
        <w:rPr>
          <w:rFonts w:hint="eastAsia" w:asciiTheme="majorEastAsia" w:hAnsiTheme="majorEastAsia" w:eastAsiaTheme="majorEastAsia" w:cstheme="majorEastAsia"/>
          <w:color w:val="000000"/>
          <w:spacing w:val="0"/>
          <w:w w:val="100"/>
          <w:position w:val="0"/>
          <w:sz w:val="24"/>
          <w:szCs w:val="24"/>
          <w:shd w:val="clear" w:color="auto" w:fill="auto"/>
          <w:lang w:val="en-US" w:eastAsia="en-US" w:bidi="en-US"/>
        </w:rPr>
        <w:t>4.6.2</w:t>
      </w:r>
      <w:r>
        <w:rPr>
          <w:rFonts w:hint="eastAsia" w:asciiTheme="majorEastAsia" w:hAnsiTheme="majorEastAsia" w:eastAsiaTheme="majorEastAsia" w:cstheme="majorEastAsia"/>
          <w:color w:val="000000"/>
          <w:spacing w:val="0"/>
          <w:w w:val="100"/>
          <w:position w:val="0"/>
          <w:sz w:val="24"/>
          <w:szCs w:val="24"/>
          <w:shd w:val="clear" w:color="auto" w:fill="auto"/>
        </w:rPr>
        <w:t>任务清单赋值</w:t>
      </w:r>
      <w:bookmarkEnd w:id="19"/>
    </w:p>
    <w:p>
      <w:pPr>
        <w:pStyle w:val="9"/>
        <w:keepNext w:val="0"/>
        <w:keepLines w:val="0"/>
        <w:widowControl w:val="0"/>
        <w:shd w:val="clear" w:color="auto" w:fill="auto"/>
        <w:bidi w:val="0"/>
        <w:spacing w:before="0" w:after="140" w:line="314" w:lineRule="exact"/>
        <w:ind w:left="0" w:right="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pacing w:val="0"/>
          <w:w w:val="100"/>
          <w:position w:val="0"/>
          <w:sz w:val="24"/>
          <w:szCs w:val="24"/>
          <w:shd w:val="clear" w:color="auto" w:fill="auto"/>
        </w:rPr>
        <w:t>在赋予样点信息的同时,给出该样点的类型（如表层样、剖面样）、现场确认、外业调查、样品流转、测试指标方法等任务清单。</w:t>
      </w:r>
      <w:bookmarkStart w:id="20" w:name="_GoBack"/>
      <w:bookmarkEnd w:id="20"/>
    </w:p>
    <w:sectPr>
      <w:headerReference r:id="rId15" w:type="default"/>
      <w:footerReference r:id="rId17" w:type="default"/>
      <w:headerReference r:id="rId16" w:type="even"/>
      <w:footerReference r:id="rId18" w:type="even"/>
      <w:footnotePr>
        <w:numFmt w:val="decimal"/>
      </w:footnotePr>
      <w:type w:val="continuous"/>
      <w:pgSz w:w="11900" w:h="16840"/>
      <w:pgMar w:top="1384" w:right="1310" w:bottom="1320" w:left="1312"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隶书">
    <w:panose1 w:val="02010800040101010101"/>
    <w:charset w:val="86"/>
    <w:family w:val="auto"/>
    <w:pitch w:val="default"/>
    <w:sig w:usb0="00000001" w:usb1="080F0000" w:usb2="00000000" w:usb3="00000000" w:csb0="00040000" w:csb1="00000000"/>
  </w:font>
  <w:font w:name="Cambria Math">
    <w:panose1 w:val="02040503050406030204"/>
    <w:charset w:val="00"/>
    <w:family w:val="auto"/>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6302375</wp:posOffset>
              </wp:positionH>
              <wp:positionV relativeFrom="page">
                <wp:posOffset>9925050</wp:posOffset>
              </wp:positionV>
              <wp:extent cx="243840" cy="73025"/>
              <wp:effectExtent l="0" t="0" r="0" b="0"/>
              <wp:wrapNone/>
              <wp:docPr id="4" name="Shape 4"/>
              <wp:cNvGraphicFramePr/>
              <a:graphic xmlns:a="http://schemas.openxmlformats.org/drawingml/2006/main">
                <a:graphicData uri="http://schemas.microsoft.com/office/word/2010/wordprocessingShape">
                  <wps:wsp>
                    <wps:cNvSpPr txBox="1"/>
                    <wps:spPr>
                      <a:xfrm>
                        <a:off x="0" y="0"/>
                        <a:ext cx="243840" cy="73025"/>
                      </a:xfrm>
                      <a:prstGeom prst="rect">
                        <a:avLst/>
                      </a:prstGeom>
                      <a:noFill/>
                    </wps:spPr>
                    <wps:txbx>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wps:txbx>
                    <wps:bodyPr wrap="none" lIns="0" tIns="0" rIns="0" bIns="0">
                      <a:spAutoFit/>
                    </wps:bodyPr>
                  </wps:wsp>
                </a:graphicData>
              </a:graphic>
            </wp:anchor>
          </w:drawing>
        </mc:Choice>
        <mc:Fallback>
          <w:pict>
            <v:shape id="Shape 4" o:spid="_x0000_s1026" o:spt="202" type="#_x0000_t202" style="position:absolute;left:0pt;margin-left:496.25pt;margin-top:781.5pt;height:5.75pt;width:19.2pt;mso-position-horizontal-relative:page;mso-position-vertical-relative:page;mso-wrap-style:none;z-index:-251656192;mso-width-relative:page;mso-height-relative:page;" filled="f" stroked="f" coordsize="21600,21600" o:gfxdata="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uK4A2NkA&#10;AAAOAQAADwAAAAAAAAABACAAAAAiAAAAZHJzL2Rvd25yZXYueG1sUEsBAhQAFAAAAAgAh07iQJrV&#10;bHusAQAAbgMAAA4AAAAAAAAAAQAgAAAAKAEAAGRycy9lMm9Eb2MueG1sUEsFBgAAAAAGAAYAWQEA&#10;AEYFAAAAAA==&#10;">
              <v:fill on="f" focussize="0,0"/>
              <v:stroke on="f"/>
              <v:imagedata o:title=""/>
              <o:lock v:ext="edit" aspectratio="f"/>
              <v:textbox inset="0mm,0mm,0mm,0mm" style="mso-fit-shape-to-text:t;">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1010920</wp:posOffset>
              </wp:positionH>
              <wp:positionV relativeFrom="page">
                <wp:posOffset>10264140</wp:posOffset>
              </wp:positionV>
              <wp:extent cx="243840" cy="76200"/>
              <wp:effectExtent l="0" t="0" r="0" b="0"/>
              <wp:wrapNone/>
              <wp:docPr id="9" name="Shape 9"/>
              <wp:cNvGraphicFramePr/>
              <a:graphic xmlns:a="http://schemas.openxmlformats.org/drawingml/2006/main">
                <a:graphicData uri="http://schemas.microsoft.com/office/word/2010/wordprocessingShape">
                  <wps:wsp>
                    <wps:cNvSpPr txBox="1"/>
                    <wps:spPr>
                      <a:xfrm>
                        <a:off x="0" y="0"/>
                        <a:ext cx="243840" cy="76200"/>
                      </a:xfrm>
                      <a:prstGeom prst="rect">
                        <a:avLst/>
                      </a:prstGeom>
                      <a:noFill/>
                    </wps:spPr>
                    <wps:txbx>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wps:txbx>
                    <wps:bodyPr wrap="none" lIns="0" tIns="0" rIns="0" bIns="0">
                      <a:spAutoFit/>
                    </wps:bodyPr>
                  </wps:wsp>
                </a:graphicData>
              </a:graphic>
            </wp:anchor>
          </w:drawing>
        </mc:Choice>
        <mc:Fallback>
          <w:pict>
            <v:shape id="Shape 9" o:spid="_x0000_s1026" o:spt="202" type="#_x0000_t202" style="position:absolute;left:0pt;margin-left:79.6pt;margin-top:808.2pt;height:6pt;width:19.2pt;mso-position-horizontal-relative:page;mso-position-vertical-relative:page;mso-wrap-style:none;z-index:-251656192;mso-width-relative:page;mso-height-relative:page;" filled="f" stroked="f" coordsize="21600,21600" o:gfxdata="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MXCt0zYAAAA&#10;DQEAAA8AAAAAAAAAAQAgAAAAIgAAAGRycy9kb3ducmV2LnhtbFBLAQIUABQAAAAIAIdO4kAaoiq+&#10;qwEAAG4DAAAOAAAAAAAAAAEAIAAAACcBAABkcnMvZTJvRG9jLnhtbFBLBQYAAAAABgAGAFkBAABE&#10;BQAAAAA=&#10;">
              <v:fill on="f" focussize="0,0"/>
              <v:stroke on="f"/>
              <v:imagedata o:title=""/>
              <o:lock v:ext="edit" aspectratio="f"/>
              <v:textbox inset="0mm,0mm,0mm,0mm" style="mso-fit-shape-to-text:t;">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6302375</wp:posOffset>
              </wp:positionH>
              <wp:positionV relativeFrom="page">
                <wp:posOffset>9921875</wp:posOffset>
              </wp:positionV>
              <wp:extent cx="243840" cy="73025"/>
              <wp:effectExtent l="0" t="0" r="0" b="0"/>
              <wp:wrapNone/>
              <wp:docPr id="45" name="Shape 45"/>
              <wp:cNvGraphicFramePr/>
              <a:graphic xmlns:a="http://schemas.openxmlformats.org/drawingml/2006/main">
                <a:graphicData uri="http://schemas.microsoft.com/office/word/2010/wordprocessingShape">
                  <wps:wsp>
                    <wps:cNvSpPr txBox="1"/>
                    <wps:spPr>
                      <a:xfrm>
                        <a:off x="0" y="0"/>
                        <a:ext cx="243840" cy="73025"/>
                      </a:xfrm>
                      <a:prstGeom prst="rect">
                        <a:avLst/>
                      </a:prstGeom>
                      <a:noFill/>
                    </wps:spPr>
                    <wps:txbx>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wps:txbx>
                    <wps:bodyPr wrap="none" lIns="0" tIns="0" rIns="0" bIns="0">
                      <a:spAutoFit/>
                    </wps:bodyPr>
                  </wps:wsp>
                </a:graphicData>
              </a:graphic>
            </wp:anchor>
          </w:drawing>
        </mc:Choice>
        <mc:Fallback>
          <w:pict>
            <v:shape id="Shape 45" o:spid="_x0000_s1026" o:spt="202" type="#_x0000_t202" style="position:absolute;left:0pt;margin-left:496.25pt;margin-top:781.25pt;height:5.75pt;width:19.2pt;mso-position-horizontal-relative:page;mso-position-vertical-relative:page;mso-wrap-style:none;z-index:-251656192;mso-width-relative:page;mso-height-relative:page;" filled="f" stroked="f" coordsize="21600,21600" o:gfxdata="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CZIS5tgA&#10;AAAOAQAADwAAAAAAAAABACAAAAAiAAAAZHJzL2Rvd25yZXYueG1sUEsBAhQAFAAAAAgAh07iQO9x&#10;QvetAQAAcAMAAA4AAAAAAAAAAQAgAAAAJwEAAGRycy9lMm9Eb2MueG1sUEsFBgAAAAAGAAYAWQEA&#10;AEYFAAAAAA==&#10;">
              <v:fill on="f" focussize="0,0"/>
              <v:stroke on="f"/>
              <v:imagedata o:title=""/>
              <o:lock v:ext="edit" aspectratio="f"/>
              <v:textbox inset="0mm,0mm,0mm,0mm" style="mso-fit-shape-to-text:t;">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1010920</wp:posOffset>
              </wp:positionH>
              <wp:positionV relativeFrom="page">
                <wp:posOffset>10264140</wp:posOffset>
              </wp:positionV>
              <wp:extent cx="243840" cy="76200"/>
              <wp:effectExtent l="0" t="0" r="0" b="0"/>
              <wp:wrapNone/>
              <wp:docPr id="50" name="Shape 50"/>
              <wp:cNvGraphicFramePr/>
              <a:graphic xmlns:a="http://schemas.openxmlformats.org/drawingml/2006/main">
                <a:graphicData uri="http://schemas.microsoft.com/office/word/2010/wordprocessingShape">
                  <wps:wsp>
                    <wps:cNvSpPr txBox="1"/>
                    <wps:spPr>
                      <a:xfrm>
                        <a:off x="0" y="0"/>
                        <a:ext cx="243840" cy="76200"/>
                      </a:xfrm>
                      <a:prstGeom prst="rect">
                        <a:avLst/>
                      </a:prstGeom>
                      <a:noFill/>
                    </wps:spPr>
                    <wps:txbx>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wps:txbx>
                    <wps:bodyPr wrap="none" lIns="0" tIns="0" rIns="0" bIns="0">
                      <a:spAutoFit/>
                    </wps:bodyPr>
                  </wps:wsp>
                </a:graphicData>
              </a:graphic>
            </wp:anchor>
          </w:drawing>
        </mc:Choice>
        <mc:Fallback>
          <w:pict>
            <v:shape id="Shape 50" o:spid="_x0000_s1026" o:spt="202" type="#_x0000_t202" style="position:absolute;left:0pt;margin-left:79.6pt;margin-top:808.2pt;height:6pt;width:19.2pt;mso-position-horizontal-relative:page;mso-position-vertical-relative:page;mso-wrap-style:none;z-index:-251656192;mso-width-relative:page;mso-height-relative:page;" filled="f" stroked="f" coordsize="21600,21600" o:gfxdata="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FwrdM2AAA&#10;AA0BAAAPAAAAAAAAAAEAIAAAACIAAABkcnMvZG93bnJldi54bWxQSwECFAAUAAAACACHTuJA47dS&#10;/6wBAABwAwAADgAAAAAAAAABACAAAAAnAQAAZHJzL2Uyb0RvYy54bWxQSwUGAAAAAAYABgBZAQAA&#10;RQUAAAAA&#10;">
              <v:fill on="f" focussize="0,0"/>
              <v:stroke on="f"/>
              <v:imagedata o:title=""/>
              <o:lock v:ext="edit" aspectratio="f"/>
              <v:textbox inset="0mm,0mm,0mm,0mm" style="mso-fit-shape-to-text:t;">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6301105</wp:posOffset>
              </wp:positionH>
              <wp:positionV relativeFrom="page">
                <wp:posOffset>9918700</wp:posOffset>
              </wp:positionV>
              <wp:extent cx="243840" cy="76200"/>
              <wp:effectExtent l="0" t="0" r="0" b="0"/>
              <wp:wrapNone/>
              <wp:docPr id="55" name="Shape 55"/>
              <wp:cNvGraphicFramePr/>
              <a:graphic xmlns:a="http://schemas.openxmlformats.org/drawingml/2006/main">
                <a:graphicData uri="http://schemas.microsoft.com/office/word/2010/wordprocessingShape">
                  <wps:wsp>
                    <wps:cNvSpPr txBox="1"/>
                    <wps:spPr>
                      <a:xfrm>
                        <a:off x="0" y="0"/>
                        <a:ext cx="243840" cy="76200"/>
                      </a:xfrm>
                      <a:prstGeom prst="rect">
                        <a:avLst/>
                      </a:prstGeom>
                      <a:noFill/>
                    </wps:spPr>
                    <wps:txbx>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rFonts w:ascii="宋体" w:hAnsi="宋体" w:eastAsia="宋体" w:cs="宋体"/>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55" o:spid="_x0000_s1026" o:spt="202" type="#_x0000_t202" style="position:absolute;left:0pt;margin-left:496.15pt;margin-top:781pt;height:6pt;width:19.2pt;mso-position-horizontal-relative:page;mso-position-vertical-relative:page;mso-wrap-style:none;z-index:-251656192;mso-width-relative:page;mso-height-relative:page;" filled="f" stroked="f" coordsize="21600,21600" o:gfxdata="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lkpB49kA&#10;AAAOAQAADwAAAAAAAAABACAAAAAiAAAAZHJzL2Rvd25yZXYueG1sUEsBAhQAFAAAAAgAh07iQCpi&#10;bN2sAQAAcAMAAA4AAAAAAAAAAQAgAAAAKAEAAGRycy9lMm9Eb2MueG1sUEsFBgAAAAAGAAYAWQEA&#10;AEYFAAAAAA==&#10;">
              <v:fill on="f" focussize="0,0"/>
              <v:stroke on="f"/>
              <v:imagedata o:title=""/>
              <o:lock v:ext="edit" aspectratio="f"/>
              <v:textbox inset="0mm,0mm,0mm,0mm" style="mso-fit-shape-to-text:t;">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rFonts w:ascii="宋体" w:hAnsi="宋体" w:eastAsia="宋体" w:cs="宋体"/>
                        <w:color w:val="000000"/>
                        <w:spacing w:val="0"/>
                        <w:w w:val="100"/>
                        <w:position w:val="0"/>
                        <w:sz w:val="17"/>
                        <w:szCs w:val="17"/>
                        <w:shd w:val="clear" w:color="auto" w:fill="auto"/>
                      </w:rPr>
                      <w: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6302375</wp:posOffset>
              </wp:positionH>
              <wp:positionV relativeFrom="page">
                <wp:posOffset>9925050</wp:posOffset>
              </wp:positionV>
              <wp:extent cx="243840" cy="73025"/>
              <wp:effectExtent l="0" t="0" r="0" b="0"/>
              <wp:wrapNone/>
              <wp:docPr id="60" name="Shape 60"/>
              <wp:cNvGraphicFramePr/>
              <a:graphic xmlns:a="http://schemas.openxmlformats.org/drawingml/2006/main">
                <a:graphicData uri="http://schemas.microsoft.com/office/word/2010/wordprocessingShape">
                  <wps:wsp>
                    <wps:cNvSpPr txBox="1"/>
                    <wps:spPr>
                      <a:xfrm>
                        <a:off x="0" y="0"/>
                        <a:ext cx="243840" cy="73025"/>
                      </a:xfrm>
                      <a:prstGeom prst="rect">
                        <a:avLst/>
                      </a:prstGeom>
                      <a:noFill/>
                    </wps:spPr>
                    <wps:txbx>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wps:txbx>
                    <wps:bodyPr wrap="none" lIns="0" tIns="0" rIns="0" bIns="0">
                      <a:spAutoFit/>
                    </wps:bodyPr>
                  </wps:wsp>
                </a:graphicData>
              </a:graphic>
            </wp:anchor>
          </w:drawing>
        </mc:Choice>
        <mc:Fallback>
          <w:pict>
            <v:shape id="Shape 60" o:spid="_x0000_s1026" o:spt="202" type="#_x0000_t202" style="position:absolute;left:0pt;margin-left:496.25pt;margin-top:781.5pt;height:5.75pt;width:19.2pt;mso-position-horizontal-relative:page;mso-position-vertical-relative:page;mso-wrap-style:none;z-index:-251656192;mso-width-relative:page;mso-height-relative:page;" filled="f" stroked="f" coordsize="21600,21600" o:gfxdata="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uK4A2NkA&#10;AAAOAQAADwAAAAAAAAABACAAAAAiAAAAZHJzL2Rvd25yZXYueG1sUEsBAhQAFAAAAAgAh07iQCYl&#10;uGWsAQAAcAMAAA4AAAAAAAAAAQAgAAAAKAEAAGRycy9lMm9Eb2MueG1sUEsFBgAAAAAGAAYAWQEA&#10;AEYFAAAAAA==&#10;">
              <v:fill on="f" focussize="0,0"/>
              <v:stroke on="f"/>
              <v:imagedata o:title=""/>
              <o:lock v:ext="edit" aspectratio="f"/>
              <v:textbox inset="0mm,0mm,0mm,0mm" style="mso-fit-shape-to-text:t;">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6302375</wp:posOffset>
              </wp:positionH>
              <wp:positionV relativeFrom="page">
                <wp:posOffset>9925050</wp:posOffset>
              </wp:positionV>
              <wp:extent cx="243840" cy="73025"/>
              <wp:effectExtent l="0" t="0" r="0" b="0"/>
              <wp:wrapNone/>
              <wp:docPr id="65" name="Shape 65"/>
              <wp:cNvGraphicFramePr/>
              <a:graphic xmlns:a="http://schemas.openxmlformats.org/drawingml/2006/main">
                <a:graphicData uri="http://schemas.microsoft.com/office/word/2010/wordprocessingShape">
                  <wps:wsp>
                    <wps:cNvSpPr txBox="1"/>
                    <wps:spPr>
                      <a:xfrm>
                        <a:off x="0" y="0"/>
                        <a:ext cx="243840" cy="73025"/>
                      </a:xfrm>
                      <a:prstGeom prst="rect">
                        <a:avLst/>
                      </a:prstGeom>
                      <a:noFill/>
                    </wps:spPr>
                    <wps:txbx>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wps:txbx>
                    <wps:bodyPr wrap="none" lIns="0" tIns="0" rIns="0" bIns="0">
                      <a:spAutoFit/>
                    </wps:bodyPr>
                  </wps:wsp>
                </a:graphicData>
              </a:graphic>
            </wp:anchor>
          </w:drawing>
        </mc:Choice>
        <mc:Fallback>
          <w:pict>
            <v:shape id="Shape 65" o:spid="_x0000_s1026" o:spt="202" type="#_x0000_t202" style="position:absolute;left:0pt;margin-left:496.25pt;margin-top:781.5pt;height:5.75pt;width:19.2pt;mso-position-horizontal-relative:page;mso-position-vertical-relative:page;mso-wrap-style:none;z-index:-251656192;mso-width-relative:page;mso-height-relative:page;" filled="f" stroked="f" coordsize="21600,21600" o:gfxdata="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iuANjZ&#10;AAAADgEAAA8AAAAAAAAAAQAgAAAAIgAAAGRycy9kb3ducmV2LnhtbFBLAQIUABQAAAAIAIdO4kDv&#10;8IZHrQEAAHADAAAOAAAAAAAAAAEAIAAAACgBAABkcnMvZTJvRG9jLnhtbFBLBQYAAAAABgAGAFkB&#10;AABHBQAAAAA=&#10;">
              <v:fill on="f" focussize="0,0"/>
              <v:stroke on="f"/>
              <v:imagedata o:title=""/>
              <o:lock v:ext="edit" aspectratio="f"/>
              <v:textbox inset="0mm,0mm,0mm,0mm" style="mso-fit-shape-to-text:t;">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3348990</wp:posOffset>
              </wp:positionH>
              <wp:positionV relativeFrom="page">
                <wp:posOffset>603885</wp:posOffset>
              </wp:positionV>
              <wp:extent cx="3331210" cy="113030"/>
              <wp:effectExtent l="0" t="0" r="0" b="0"/>
              <wp:wrapNone/>
              <wp:docPr id="1" name="Shape 1"/>
              <wp:cNvGraphicFramePr/>
              <a:graphic xmlns:a="http://schemas.openxmlformats.org/drawingml/2006/main">
                <a:graphicData uri="http://schemas.microsoft.com/office/word/2010/wordprocessingShape">
                  <wps:wsp>
                    <wps:cNvSpPr txBox="1"/>
                    <wps:spPr>
                      <a:xfrm>
                        <a:off x="0" y="0"/>
                        <a:ext cx="3331210" cy="113030"/>
                      </a:xfrm>
                      <a:prstGeom prst="rect">
                        <a:avLst/>
                      </a:prstGeom>
                      <a:noFill/>
                    </wps:spPr>
                    <wps:txbx>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第三次全国土壤普查工作底图制作与采样点布设技术规范 </w:t>
                          </w:r>
                          <w:r>
                            <w:rPr>
                              <w:rFonts w:ascii="Arial" w:hAnsi="Arial" w:eastAsia="Arial" w:cs="Arial"/>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1" o:spid="_x0000_s1026" o:spt="202" type="#_x0000_t202" style="position:absolute;left:0pt;margin-left:263.7pt;margin-top:47.55pt;height:8.9pt;width:262.3pt;mso-position-horizontal-relative:page;mso-position-vertical-relative:page;mso-wrap-style:none;z-index:-251656192;mso-width-relative:page;mso-height-relative:page;" filled="f" stroked="f" coordsize="21600,21600" o:gfxdata="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T9QIFtcAAAAL&#10;AQAADwAAAAAAAAABACAAAAAiAAAAZHJzL2Rvd25yZXYueG1sUEsBAhQAFAAAAAgAh07iQGVdbuCr&#10;AQAAcAMAAA4AAAAAAAAAAQAgAAAAJgEAAGRycy9lMm9Eb2MueG1sUEsFBgAAAAAGAAYAWQEAAEMF&#10;AAAAAA==&#10;">
              <v:fill on="f" focussize="0,0"/>
              <v:stroke on="f"/>
              <v:imagedata o:title=""/>
              <o:lock v:ext="edit" aspectratio="f"/>
              <v:textbox inset="0mm,0mm,0mm,0mm" style="mso-fit-shape-to-text:t;">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第三次全国土壤普查工作底图制作与采样点布设技术规范 </w:t>
                    </w:r>
                    <w:r>
                      <w:rPr>
                        <w:rFonts w:ascii="Arial" w:hAnsi="Arial" w:eastAsia="Arial" w:cs="Arial"/>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852805</wp:posOffset>
              </wp:positionH>
              <wp:positionV relativeFrom="page">
                <wp:posOffset>748665</wp:posOffset>
              </wp:positionV>
              <wp:extent cx="5858510" cy="0"/>
              <wp:effectExtent l="0" t="6350" r="0" b="6350"/>
              <wp:wrapNone/>
              <wp:docPr id="3" name="Shape 3"/>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3" o:spid="_x0000_s1026" o:spt="32" type="#_x0000_t32" style="position:absolute;left:0pt;margin-left:67.15pt;margin-top:58.95pt;height:0pt;width:461.3pt;mso-position-horizontal-relative:page;mso-position-vertical-relative:page;z-index:-251657216;mso-width-relative:page;mso-height-relative:page;" filled="f" stroked="t" coordsize="21600,21600" o:gfxdata="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08wgDXAAAADAEAAA8AAAAA&#10;AAAAAQAgAAAAIgAAAGRycy9kb3ducmV2LnhtbFBLAQIUABQAAAAIAIdO4kBagBbwowEAAFoDAAAO&#10;AAAAAAAAAAEAIAAAACYBAABkcnMvZTJvRG9jLnhtbFBLBQYAAAAABgAGAFkBAAA7BQAAAAA=&#10;">
              <v:fill on="f" focussize="0,0"/>
              <v:stroke weight="1pt" color="#FFFFFF" joinstyle="round"/>
              <v:imagedata o:title=""/>
              <o:lock v:ext="edit" aspectratio="f"/>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858520</wp:posOffset>
              </wp:positionH>
              <wp:positionV relativeFrom="page">
                <wp:posOffset>561975</wp:posOffset>
              </wp:positionV>
              <wp:extent cx="1685290" cy="103505"/>
              <wp:effectExtent l="0" t="0" r="0" b="0"/>
              <wp:wrapNone/>
              <wp:docPr id="6" name="Shape 6"/>
              <wp:cNvGraphicFramePr/>
              <a:graphic xmlns:a="http://schemas.openxmlformats.org/drawingml/2006/main">
                <a:graphicData uri="http://schemas.microsoft.com/office/word/2010/wordprocessingShape">
                  <wps:wsp>
                    <wps:cNvSpPr txBox="1"/>
                    <wps:spPr>
                      <a:xfrm>
                        <a:off x="0" y="0"/>
                        <a:ext cx="1685290" cy="103505"/>
                      </a:xfrm>
                      <a:prstGeom prst="rect">
                        <a:avLst/>
                      </a:prstGeom>
                      <a:noFill/>
                    </wps:spPr>
                    <wps:txbx>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第三次全国土壤普查技术规程规范</w:t>
                          </w:r>
                        </w:p>
                      </w:txbxContent>
                    </wps:txbx>
                    <wps:bodyPr wrap="none" lIns="0" tIns="0" rIns="0" bIns="0">
                      <a:spAutoFit/>
                    </wps:bodyPr>
                  </wps:wsp>
                </a:graphicData>
              </a:graphic>
            </wp:anchor>
          </w:drawing>
        </mc:Choice>
        <mc:Fallback>
          <w:pict>
            <v:shape id="Shape 6" o:spid="_x0000_s1026" o:spt="202" type="#_x0000_t202" style="position:absolute;left:0pt;margin-left:67.6pt;margin-top:44.25pt;height:8.15pt;width:132.7pt;mso-position-horizontal-relative:page;mso-position-vertical-relative:page;mso-wrap-style:none;z-index:-251656192;mso-width-relative:page;mso-height-relative:page;" filled="f" stroked="f" coordsize="21600,21600" o:gfxdata="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sISQE1QAAAAoB&#10;AAAPAAAAAAAAAAEAIAAAACIAAABkcnMvZG93bnJldi54bWxQSwECFAAUAAAACACHTuJAup8ESKwB&#10;AABwAwAADgAAAAAAAAABACAAAAAkAQAAZHJzL2Uyb0RvYy54bWxQSwUGAAAAAAYABgBZAQAAQgUA&#10;AAAA&#10;">
              <v:fill on="f" focussize="0,0"/>
              <v:stroke on="f"/>
              <v:imagedata o:title=""/>
              <o:lock v:ext="edit" aspectratio="f"/>
              <v:textbox inset="0mm,0mm,0mm,0mm" style="mso-fit-shape-to-text:t;">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第三次全国土壤普查技术规程规范</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848995</wp:posOffset>
              </wp:positionH>
              <wp:positionV relativeFrom="page">
                <wp:posOffset>1097280</wp:posOffset>
              </wp:positionV>
              <wp:extent cx="5858510" cy="0"/>
              <wp:effectExtent l="0" t="6350" r="0" b="6350"/>
              <wp:wrapNone/>
              <wp:docPr id="8" name="Shape 8"/>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8" o:spid="_x0000_s1026" o:spt="32" type="#_x0000_t32" style="position:absolute;left:0pt;margin-left:66.85pt;margin-top:86.4pt;height:0pt;width:461.3pt;mso-position-horizontal-relative:page;mso-position-vertical-relative:page;z-index:-251657216;mso-width-relative:page;mso-height-relative:page;" filled="f" stroked="t" coordsize="21600,21600" o:gfxdata="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cWn+vdYAAAAMAQAADwAAAAAA&#10;AAABACAAAAAiAAAAZHJzL2Rvd25yZXYueG1sUEsBAhQAFAAAAAgAh07iQKrxGRKjAQAAWgMAAA4A&#10;AAAAAAAAAQAgAAAAJQEAAGRycy9lMm9Eb2MueG1sUEsFBgAAAAAGAAYAWQEAADoFAAAAAA==&#10;">
              <v:fill on="f" focussize="0,0"/>
              <v:stroke weight="1pt" color="#FFFFFF" joinstyle="round"/>
              <v:imagedata o:title=""/>
              <o:lock v:ext="edit" aspectratio="f"/>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3348990</wp:posOffset>
              </wp:positionH>
              <wp:positionV relativeFrom="page">
                <wp:posOffset>603885</wp:posOffset>
              </wp:positionV>
              <wp:extent cx="3331210" cy="113030"/>
              <wp:effectExtent l="0" t="0" r="0" b="0"/>
              <wp:wrapNone/>
              <wp:docPr id="42" name="Shape 42"/>
              <wp:cNvGraphicFramePr/>
              <a:graphic xmlns:a="http://schemas.openxmlformats.org/drawingml/2006/main">
                <a:graphicData uri="http://schemas.microsoft.com/office/word/2010/wordprocessingShape">
                  <wps:wsp>
                    <wps:cNvSpPr txBox="1"/>
                    <wps:spPr>
                      <a:xfrm>
                        <a:off x="0" y="0"/>
                        <a:ext cx="3331210" cy="113030"/>
                      </a:xfrm>
                      <a:prstGeom prst="rect">
                        <a:avLst/>
                      </a:prstGeom>
                      <a:noFill/>
                    </wps:spPr>
                    <wps:txbx>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第三次全国土壤普查工作底图制作与采样点布设技术规范 </w:t>
                          </w:r>
                          <w:r>
                            <w:rPr>
                              <w:rFonts w:ascii="Arial" w:hAnsi="Arial" w:eastAsia="Arial" w:cs="Arial"/>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42" o:spid="_x0000_s1026" o:spt="202" type="#_x0000_t202" style="position:absolute;left:0pt;margin-left:263.7pt;margin-top:47.55pt;height:8.9pt;width:262.3pt;mso-position-horizontal-relative:page;mso-position-vertical-relative:page;mso-wrap-style:none;z-index:-251656192;mso-width-relative:page;mso-height-relative:page;" filled="f" stroked="f" coordsize="21600,21600" o:gfxdata="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P1AgW1wAA&#10;AAsBAAAPAAAAAAAAAAEAIAAAACIAAABkcnMvZG93bnJldi54bWxQSwECFAAUAAAACACHTuJAqRCC&#10;Mq0BAAByAwAADgAAAAAAAAABACAAAAAmAQAAZHJzL2Uyb0RvYy54bWxQSwUGAAAAAAYABgBZAQAA&#10;RQUAAAAA&#10;">
              <v:fill on="f" focussize="0,0"/>
              <v:stroke on="f"/>
              <v:imagedata o:title=""/>
              <o:lock v:ext="edit" aspectratio="f"/>
              <v:textbox inset="0mm,0mm,0mm,0mm" style="mso-fit-shape-to-text:t;">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第三次全国土壤普查工作底图制作与采样点布设技术规范 </w:t>
                    </w:r>
                    <w:r>
                      <w:rPr>
                        <w:rFonts w:ascii="Arial" w:hAnsi="Arial" w:eastAsia="Arial" w:cs="Arial"/>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852805</wp:posOffset>
              </wp:positionH>
              <wp:positionV relativeFrom="page">
                <wp:posOffset>748665</wp:posOffset>
              </wp:positionV>
              <wp:extent cx="5858510" cy="0"/>
              <wp:effectExtent l="0" t="6350" r="0" b="6350"/>
              <wp:wrapNone/>
              <wp:docPr id="44" name="Shape 44"/>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44" o:spid="_x0000_s1026" o:spt="32" type="#_x0000_t32" style="position:absolute;left:0pt;margin-left:67.15pt;margin-top:58.95pt;height:0pt;width:461.3pt;mso-position-horizontal-relative:page;mso-position-vertical-relative:page;z-index:-251657216;mso-width-relative:page;mso-height-relative:page;" filled="f" stroked="t" coordsize="21600,21600" o:gfxdata="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dPMIA1wAAAAwBAAAPAAAA&#10;AAAAAAEAIAAAACIAAABkcnMvZG93bnJldi54bWxQSwECFAAUAAAACACHTuJA4qe/R6QBAABcAwAA&#10;DgAAAAAAAAABACAAAAAmAQAAZHJzL2Uyb0RvYy54bWxQSwUGAAAAAAYABgBZAQAAPAUAAAAA&#10;">
              <v:fill on="f" focussize="0,0"/>
              <v:stroke weight="1pt" color="#FFFFFF" joinstyle="round"/>
              <v:imagedata o:title=""/>
              <o:lock v:ext="edit" aspectratio="f"/>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858520</wp:posOffset>
              </wp:positionH>
              <wp:positionV relativeFrom="page">
                <wp:posOffset>561975</wp:posOffset>
              </wp:positionV>
              <wp:extent cx="1685290" cy="103505"/>
              <wp:effectExtent l="0" t="0" r="0" b="0"/>
              <wp:wrapNone/>
              <wp:docPr id="47" name="Shape 47"/>
              <wp:cNvGraphicFramePr/>
              <a:graphic xmlns:a="http://schemas.openxmlformats.org/drawingml/2006/main">
                <a:graphicData uri="http://schemas.microsoft.com/office/word/2010/wordprocessingShape">
                  <wps:wsp>
                    <wps:cNvSpPr txBox="1"/>
                    <wps:spPr>
                      <a:xfrm>
                        <a:off x="0" y="0"/>
                        <a:ext cx="1685290" cy="103505"/>
                      </a:xfrm>
                      <a:prstGeom prst="rect">
                        <a:avLst/>
                      </a:prstGeom>
                      <a:noFill/>
                    </wps:spPr>
                    <wps:txbx>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第三次全国土壤普查技术规程规范</w:t>
                          </w:r>
                        </w:p>
                      </w:txbxContent>
                    </wps:txbx>
                    <wps:bodyPr wrap="none" lIns="0" tIns="0" rIns="0" bIns="0">
                      <a:spAutoFit/>
                    </wps:bodyPr>
                  </wps:wsp>
                </a:graphicData>
              </a:graphic>
            </wp:anchor>
          </w:drawing>
        </mc:Choice>
        <mc:Fallback>
          <w:pict>
            <v:shape id="Shape 47" o:spid="_x0000_s1026" o:spt="202" type="#_x0000_t202" style="position:absolute;left:0pt;margin-left:67.6pt;margin-top:44.25pt;height:8.15pt;width:132.7pt;mso-position-horizontal-relative:page;mso-position-vertical-relative:page;mso-wrap-style:none;z-index:-251656192;mso-width-relative:page;mso-height-relative:page;" filled="f" stroked="f" coordsize="21600,21600" o:gfxdata="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KwhJATVAAAA&#10;CgEAAA8AAAAAAAAAAQAgAAAAIgAAAGRycy9kb3ducmV2LnhtbFBLAQIUABQAAAAIAIdO4kADwstd&#10;rgEAAHIDAAAOAAAAAAAAAAEAIAAAACQBAABkcnMvZTJvRG9jLnhtbFBLBQYAAAAABgAGAFkBAABE&#10;BQAAAAA=&#10;">
              <v:fill on="f" focussize="0,0"/>
              <v:stroke on="f"/>
              <v:imagedata o:title=""/>
              <o:lock v:ext="edit" aspectratio="f"/>
              <v:textbox inset="0mm,0mm,0mm,0mm" style="mso-fit-shape-to-text:t;">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第三次全国土壤普查技术规程规范</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848995</wp:posOffset>
              </wp:positionH>
              <wp:positionV relativeFrom="page">
                <wp:posOffset>1097280</wp:posOffset>
              </wp:positionV>
              <wp:extent cx="5858510" cy="0"/>
              <wp:effectExtent l="0" t="6350" r="0" b="6350"/>
              <wp:wrapNone/>
              <wp:docPr id="49" name="Shape 49"/>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49" o:spid="_x0000_s1026" o:spt="32" type="#_x0000_t32" style="position:absolute;left:0pt;margin-left:66.85pt;margin-top:86.4pt;height:0pt;width:461.3pt;mso-position-horizontal-relative:page;mso-position-vertical-relative:page;z-index:-251657216;mso-width-relative:page;mso-height-relative:page;" filled="f" stroked="t" coordsize="21600,21600" o:gfxdata="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xaf691gAAAAwBAAAPAAAA&#10;AAAAAAEAIAAAACIAAABkcnMvZG93bnJldi54bWxQSwECFAAUAAAACACHTuJAnM2uQ6UBAABcAwAA&#10;DgAAAAAAAAABACAAAAAlAQAAZHJzL2Uyb0RvYy54bWxQSwUGAAAAAAYABgBZAQAAPAUAAAAA&#10;">
              <v:fill on="f" focussize="0,0"/>
              <v:stroke weight="1pt" color="#FFFFFF" joinstyle="round"/>
              <v:imagedata o:title=""/>
              <o:lock v:ext="edit" aspectratio="f"/>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3347720</wp:posOffset>
              </wp:positionH>
              <wp:positionV relativeFrom="page">
                <wp:posOffset>607060</wp:posOffset>
              </wp:positionV>
              <wp:extent cx="3331210" cy="113030"/>
              <wp:effectExtent l="0" t="0" r="0" b="0"/>
              <wp:wrapNone/>
              <wp:docPr id="52" name="Shape 52"/>
              <wp:cNvGraphicFramePr/>
              <a:graphic xmlns:a="http://schemas.openxmlformats.org/drawingml/2006/main">
                <a:graphicData uri="http://schemas.microsoft.com/office/word/2010/wordprocessingShape">
                  <wps:wsp>
                    <wps:cNvSpPr txBox="1"/>
                    <wps:spPr>
                      <a:xfrm>
                        <a:off x="0" y="0"/>
                        <a:ext cx="3331210" cy="113030"/>
                      </a:xfrm>
                      <a:prstGeom prst="rect">
                        <a:avLst/>
                      </a:prstGeom>
                      <a:noFill/>
                    </wps:spPr>
                    <wps:txbx>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第三次全国土壤普查工作底图制作与采样点布设技术规范 </w:t>
                          </w:r>
                          <w:r>
                            <w:rPr>
                              <w:rFonts w:ascii="Arial" w:hAnsi="Arial" w:eastAsia="Arial" w:cs="Arial"/>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52" o:spid="_x0000_s1026" o:spt="202" type="#_x0000_t202" style="position:absolute;left:0pt;margin-left:263.6pt;margin-top:47.8pt;height:8.9pt;width:262.3pt;mso-position-horizontal-relative:page;mso-position-vertical-relative:page;mso-wrap-style:none;z-index:-251656192;mso-width-relative:page;mso-height-relative:page;" filled="f" stroked="f" coordsize="21600,21600" o:gfxdata="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1Xn8h1wAA&#10;AAsBAAAPAAAAAAAAAAEAIAAAACIAAABkcnMvZG93bnJldi54bWxQSwECFAAUAAAACACHTuJAEJHd&#10;f60BAAByAwAADgAAAAAAAAABACAAAAAmAQAAZHJzL2Uyb0RvYy54bWxQSwUGAAAAAAYABgBZAQAA&#10;RQUAAAAA&#10;">
              <v:fill on="f" focussize="0,0"/>
              <v:stroke on="f"/>
              <v:imagedata o:title=""/>
              <o:lock v:ext="edit" aspectratio="f"/>
              <v:textbox inset="0mm,0mm,0mm,0mm" style="mso-fit-shape-to-text:t;">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第三次全国土壤普查工作底图制作与采样点布设技术规范 </w:t>
                    </w:r>
                    <w:r>
                      <w:rPr>
                        <w:rFonts w:ascii="Arial" w:hAnsi="Arial" w:eastAsia="Arial" w:cs="Arial"/>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850900</wp:posOffset>
              </wp:positionH>
              <wp:positionV relativeFrom="page">
                <wp:posOffset>751840</wp:posOffset>
              </wp:positionV>
              <wp:extent cx="5858510" cy="0"/>
              <wp:effectExtent l="0" t="6350" r="0" b="6350"/>
              <wp:wrapNone/>
              <wp:docPr id="54" name="Shape 54"/>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54" o:spid="_x0000_s1026" o:spt="32" type="#_x0000_t32" style="position:absolute;left:0pt;margin-left:67pt;margin-top:59.2pt;height:0pt;width:461.3pt;mso-position-horizontal-relative:page;mso-position-vertical-relative:page;z-index:-251657216;mso-width-relative:page;mso-height-relative:page;" filled="f" stroked="t" coordsize="21600,21600" o:gfxdata="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9Qxez1wAAAAwBAAAPAAAA&#10;AAAAAAEAIAAAACIAAABkcnMvZG93bnJldi54bWxQSwECFAAUAAAACACHTuJAITaapqQBAABcAwAA&#10;DgAAAAAAAAABACAAAAAmAQAAZHJzL2Uyb0RvYy54bWxQSwUGAAAAAAYABgBZAQAAPAUAAAAA&#10;">
              <v:fill on="f" focussize="0,0"/>
              <v:stroke weight="1pt" color="#FFFFFF" joinstyle="round"/>
              <v:imagedata o:title=""/>
              <o:lock v:ext="edit" aspectratio="f"/>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3348990</wp:posOffset>
              </wp:positionH>
              <wp:positionV relativeFrom="page">
                <wp:posOffset>603885</wp:posOffset>
              </wp:positionV>
              <wp:extent cx="3331210" cy="113030"/>
              <wp:effectExtent l="0" t="0" r="0" b="0"/>
              <wp:wrapNone/>
              <wp:docPr id="57" name="Shape 57"/>
              <wp:cNvGraphicFramePr/>
              <a:graphic xmlns:a="http://schemas.openxmlformats.org/drawingml/2006/main">
                <a:graphicData uri="http://schemas.microsoft.com/office/word/2010/wordprocessingShape">
                  <wps:wsp>
                    <wps:cNvSpPr txBox="1"/>
                    <wps:spPr>
                      <a:xfrm>
                        <a:off x="0" y="0"/>
                        <a:ext cx="3331210" cy="113030"/>
                      </a:xfrm>
                      <a:prstGeom prst="rect">
                        <a:avLst/>
                      </a:prstGeom>
                      <a:noFill/>
                    </wps:spPr>
                    <wps:txbx>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第三次全国土壤普查工作底图制作与采样点布设技术规范 </w:t>
                          </w:r>
                          <w:r>
                            <w:rPr>
                              <w:rFonts w:ascii="Arial" w:hAnsi="Arial" w:eastAsia="Arial" w:cs="Arial"/>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57" o:spid="_x0000_s1026" o:spt="202" type="#_x0000_t202" style="position:absolute;left:0pt;margin-left:263.7pt;margin-top:47.55pt;height:8.9pt;width:262.3pt;mso-position-horizontal-relative:page;mso-position-vertical-relative:page;mso-wrap-style:none;z-index:-251656192;mso-width-relative:page;mso-height-relative:page;" filled="f" stroked="f" coordsize="21600,21600" o:gfxdata="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E/UCBbX&#10;AAAACwEAAA8AAAAAAAAAAQAgAAAAIgAAAGRycy9kb3ducmV2LnhtbFBLAQIUABQAAAAIAIdO4kBy&#10;+VyTrwEAAHIDAAAOAAAAAAAAAAEAIAAAACYBAABkcnMvZTJvRG9jLnhtbFBLBQYAAAAABgAGAFkB&#10;AABHBQAAAAA=&#10;">
              <v:fill on="f" focussize="0,0"/>
              <v:stroke on="f"/>
              <v:imagedata o:title=""/>
              <o:lock v:ext="edit" aspectratio="f"/>
              <v:textbox inset="0mm,0mm,0mm,0mm" style="mso-fit-shape-to-text:t;">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第三次全国土壤普查工作底图制作与采样点布设技术规范 </w:t>
                    </w:r>
                    <w:r>
                      <w:rPr>
                        <w:rFonts w:ascii="Arial" w:hAnsi="Arial" w:eastAsia="Arial" w:cs="Arial"/>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852805</wp:posOffset>
              </wp:positionH>
              <wp:positionV relativeFrom="page">
                <wp:posOffset>748665</wp:posOffset>
              </wp:positionV>
              <wp:extent cx="5858510" cy="0"/>
              <wp:effectExtent l="0" t="6350" r="0" b="6350"/>
              <wp:wrapNone/>
              <wp:docPr id="59" name="Shape 59"/>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59" o:spid="_x0000_s1026" o:spt="32" type="#_x0000_t32" style="position:absolute;left:0pt;margin-left:67.15pt;margin-top:58.95pt;height:0pt;width:461.3pt;mso-position-horizontal-relative:page;mso-position-vertical-relative:page;z-index:-251657216;mso-width-relative:page;mso-height-relative:page;" filled="f" stroked="t" coordsize="21600,21600" o:gfxdata="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dPMIA1wAAAAwBAAAPAAAA&#10;AAAAAAEAIAAAACIAAABkcnMvZG93bnJldi54bWxQSwECFAAUAAAACACHTuJAX1yLoqQBAABcAwAA&#10;DgAAAAAAAAABACAAAAAmAQAAZHJzL2Uyb0RvYy54bWxQSwUGAAAAAAYABgBZAQAAPAUAAAAA&#10;">
              <v:fill on="f" focussize="0,0"/>
              <v:stroke weight="1pt" color="#FFFFFF" joinstyle="round"/>
              <v:imagedata o:title=""/>
              <o:lock v:ext="edit" aspectratio="f"/>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3348990</wp:posOffset>
              </wp:positionH>
              <wp:positionV relativeFrom="page">
                <wp:posOffset>603885</wp:posOffset>
              </wp:positionV>
              <wp:extent cx="3331210" cy="113030"/>
              <wp:effectExtent l="0" t="0" r="0" b="0"/>
              <wp:wrapNone/>
              <wp:docPr id="62" name="Shape 62"/>
              <wp:cNvGraphicFramePr/>
              <a:graphic xmlns:a="http://schemas.openxmlformats.org/drawingml/2006/main">
                <a:graphicData uri="http://schemas.microsoft.com/office/word/2010/wordprocessingShape">
                  <wps:wsp>
                    <wps:cNvSpPr txBox="1"/>
                    <wps:spPr>
                      <a:xfrm>
                        <a:off x="0" y="0"/>
                        <a:ext cx="3331210" cy="113030"/>
                      </a:xfrm>
                      <a:prstGeom prst="rect">
                        <a:avLst/>
                      </a:prstGeom>
                      <a:noFill/>
                    </wps:spPr>
                    <wps:txbx>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第三次全国土壤普查工作底图制作与采样点布设技术规范 </w:t>
                          </w:r>
                          <w:r>
                            <w:rPr>
                              <w:rFonts w:ascii="Arial" w:hAnsi="Arial" w:eastAsia="Arial" w:cs="Arial"/>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wps:txbx>
                    <wps:bodyPr wrap="none" lIns="0" tIns="0" rIns="0" bIns="0">
                      <a:spAutoFit/>
                    </wps:bodyPr>
                  </wps:wsp>
                </a:graphicData>
              </a:graphic>
            </wp:anchor>
          </w:drawing>
        </mc:Choice>
        <mc:Fallback>
          <w:pict>
            <v:shape id="Shape 62" o:spid="_x0000_s1026" o:spt="202" type="#_x0000_t202" style="position:absolute;left:0pt;margin-left:263.7pt;margin-top:47.55pt;height:8.9pt;width:262.3pt;mso-position-horizontal-relative:page;mso-position-vertical-relative:page;mso-wrap-style:none;z-index:-251656192;mso-width-relative:page;mso-height-relative:page;" filled="f" stroked="f" coordsize="21600,21600" o:gfxdata="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P1AgW1wAA&#10;AAsBAAAPAAAAAAAAAAEAIAAAACIAAABkcnMvZG93bnJldi54bWxQSwECFAAUAAAACACHTuJA2xM9&#10;qK0BAAByAwAADgAAAAAAAAABACAAAAAmAQAAZHJzL2Uyb0RvYy54bWxQSwUGAAAAAAYABgBZAQAA&#10;RQUAAAAA&#10;">
              <v:fill on="f" focussize="0,0"/>
              <v:stroke on="f"/>
              <v:imagedata o:title=""/>
              <o:lock v:ext="edit" aspectratio="f"/>
              <v:textbox inset="0mm,0mm,0mm,0mm" style="mso-fit-shape-to-text:t;">
                <w:txbxContent>
                  <w:p>
                    <w:pPr>
                      <w:pStyle w:val="15"/>
                      <w:keepNext w:val="0"/>
                      <w:keepLines w:val="0"/>
                      <w:widowControl w:val="0"/>
                      <w:shd w:val="clear" w:color="auto" w:fill="auto"/>
                      <w:bidi w:val="0"/>
                      <w:spacing w:before="0" w:after="0" w:line="240" w:lineRule="auto"/>
                      <w:ind w:left="0" w:right="0" w:firstLine="0"/>
                      <w:jc w:val="left"/>
                      <w:rPr>
                        <w:sz w:val="17"/>
                        <w:szCs w:val="17"/>
                      </w:rPr>
                    </w:pPr>
                    <w:r>
                      <w:rPr>
                        <w:rFonts w:ascii="黑体" w:hAnsi="黑体" w:eastAsia="黑体" w:cs="黑体"/>
                        <w:color w:val="000000"/>
                        <w:spacing w:val="0"/>
                        <w:w w:val="100"/>
                        <w:position w:val="0"/>
                        <w:sz w:val="17"/>
                        <w:szCs w:val="17"/>
                        <w:shd w:val="clear" w:color="auto" w:fill="auto"/>
                      </w:rPr>
                      <w:t xml:space="preserve">第三次全国土壤普查工作底图制作与采样点布设技术规范 </w:t>
                    </w:r>
                    <w:r>
                      <w:rPr>
                        <w:rFonts w:ascii="Arial" w:hAnsi="Arial" w:eastAsia="Arial" w:cs="Arial"/>
                        <w:color w:val="000000"/>
                        <w:spacing w:val="0"/>
                        <w:w w:val="100"/>
                        <w:position w:val="0"/>
                        <w:sz w:val="17"/>
                        <w:szCs w:val="17"/>
                        <w:shd w:val="clear" w:color="auto" w:fill="auto"/>
                      </w:rPr>
                      <w:t>（</w:t>
                    </w:r>
                    <w:r>
                      <w:rPr>
                        <w:rFonts w:ascii="黑体" w:hAnsi="黑体" w:eastAsia="黑体" w:cs="黑体"/>
                        <w:color w:val="000000"/>
                        <w:spacing w:val="0"/>
                        <w:w w:val="100"/>
                        <w:position w:val="0"/>
                        <w:sz w:val="17"/>
                        <w:szCs w:val="17"/>
                        <w:shd w:val="clear" w:color="auto" w:fill="auto"/>
                      </w:rPr>
                      <w:t>修订版</w:t>
                    </w:r>
                    <w:r>
                      <w:rPr>
                        <w:rFonts w:ascii="Arial" w:hAnsi="Arial" w:eastAsia="Arial" w:cs="Arial"/>
                        <w:color w:val="000000"/>
                        <w:spacing w:val="0"/>
                        <w:w w:val="100"/>
                        <w:position w:val="0"/>
                        <w:sz w:val="17"/>
                        <w:szCs w:val="17"/>
                        <w:shd w:val="clear" w:color="auto" w:fill="auto"/>
                      </w:rPr>
                      <w:t>）</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852805</wp:posOffset>
              </wp:positionH>
              <wp:positionV relativeFrom="page">
                <wp:posOffset>748665</wp:posOffset>
              </wp:positionV>
              <wp:extent cx="5858510" cy="0"/>
              <wp:effectExtent l="0" t="6350" r="0" b="6350"/>
              <wp:wrapNone/>
              <wp:docPr id="64" name="Shape 64"/>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 id="Shape 64" o:spid="_x0000_s1026" o:spt="32" type="#_x0000_t32" style="position:absolute;left:0pt;margin-left:67.15pt;margin-top:58.95pt;height:0pt;width:461.3pt;mso-position-horizontal-relative:page;mso-position-vertical-relative:page;z-index:-251657216;mso-width-relative:page;mso-height-relative:page;" filled="f" stroked="t" coordsize="21600,21600" o:gfxdata="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dPMIA1wAAAAwBAAAPAAAA&#10;AAAAAAEAIAAAACIAAABkcnMvZG93bnJldi54bWxQSwECFAAUAAAACACHTuJAJYKFXqQBAABcAwAA&#10;DgAAAAAAAAABACAAAAAmAQAAZHJzL2Uyb0RvYy54bWxQSwUGAAAAAAYABgBZAQAAPAUAAAAA&#10;">
              <v:fill on="f" focussize="0,0"/>
              <v:stroke weight="1pt" color="#FFFFFF" joinstyle="round"/>
              <v:imagedata o:title=""/>
              <o:lock v:ext="edit" aspectratio="f"/>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54D0D"/>
    <w:multiLevelType w:val="singleLevel"/>
    <w:tmpl w:val="AF554D0D"/>
    <w:lvl w:ilvl="0" w:tentative="0">
      <w:start w:val="1"/>
      <w:numFmt w:val="decimal"/>
      <w:suff w:val="space"/>
      <w:lvlText w:val="(%1)"/>
      <w:lvlJc w:val="left"/>
    </w:lvl>
  </w:abstractNum>
  <w:abstractNum w:abstractNumId="1">
    <w:nsid w:val="237CB758"/>
    <w:multiLevelType w:val="singleLevel"/>
    <w:tmpl w:val="237CB758"/>
    <w:lvl w:ilvl="0" w:tentative="0">
      <w:start w:val="2"/>
      <w:numFmt w:val="decimal"/>
      <w:suff w:val="space"/>
      <w:lvlText w:val="(%1)"/>
      <w:lvlJc w:val="left"/>
    </w:lvl>
  </w:abstractNum>
  <w:abstractNum w:abstractNumId="2">
    <w:nsid w:val="5FBA8265"/>
    <w:multiLevelType w:val="singleLevel"/>
    <w:tmpl w:val="5FBA8265"/>
    <w:lvl w:ilvl="0" w:tentative="0">
      <w:start w:val="2"/>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documentProtection w:enforcement="0"/>
  <w:evenAndOddHeaders w:val="1"/>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
  <w:docVars>
    <w:docVar w:name="commondata" w:val="eyJoZGlkIjoiNzFiNGYyZDkwZGVlZTg0YzRjZTAyNTdjYjIyNDQ4NWIifQ=="/>
  </w:docVars>
  <w:rsids>
    <w:rsidRoot w:val="00000000"/>
    <w:rsid w:val="008D313A"/>
    <w:rsid w:val="00CF5500"/>
    <w:rsid w:val="01101675"/>
    <w:rsid w:val="012872C5"/>
    <w:rsid w:val="01B12E58"/>
    <w:rsid w:val="01F13429"/>
    <w:rsid w:val="01FE5971"/>
    <w:rsid w:val="02312B3F"/>
    <w:rsid w:val="0259076E"/>
    <w:rsid w:val="02714395"/>
    <w:rsid w:val="03697A39"/>
    <w:rsid w:val="03BB4461"/>
    <w:rsid w:val="04DA4474"/>
    <w:rsid w:val="05300538"/>
    <w:rsid w:val="059B00A7"/>
    <w:rsid w:val="05BF5614"/>
    <w:rsid w:val="05F872A7"/>
    <w:rsid w:val="0643426F"/>
    <w:rsid w:val="0653264B"/>
    <w:rsid w:val="06FD6A9C"/>
    <w:rsid w:val="077C0A1A"/>
    <w:rsid w:val="07A33243"/>
    <w:rsid w:val="07E94D14"/>
    <w:rsid w:val="08397703"/>
    <w:rsid w:val="085B58CB"/>
    <w:rsid w:val="085F360E"/>
    <w:rsid w:val="0870581B"/>
    <w:rsid w:val="0891753F"/>
    <w:rsid w:val="08C711B3"/>
    <w:rsid w:val="08FB7730"/>
    <w:rsid w:val="091D7025"/>
    <w:rsid w:val="0946657C"/>
    <w:rsid w:val="09561BBE"/>
    <w:rsid w:val="0967021B"/>
    <w:rsid w:val="09723D05"/>
    <w:rsid w:val="09D04097"/>
    <w:rsid w:val="0A1C108A"/>
    <w:rsid w:val="0A4E7092"/>
    <w:rsid w:val="0AFB3396"/>
    <w:rsid w:val="0AFC15E8"/>
    <w:rsid w:val="0B095AB3"/>
    <w:rsid w:val="0B292074"/>
    <w:rsid w:val="0B6257C9"/>
    <w:rsid w:val="0BB84DE3"/>
    <w:rsid w:val="0BD7170D"/>
    <w:rsid w:val="0C6621D1"/>
    <w:rsid w:val="0C7358DA"/>
    <w:rsid w:val="0CB7687B"/>
    <w:rsid w:val="0CB832EC"/>
    <w:rsid w:val="0CEA0CA3"/>
    <w:rsid w:val="0D505C1B"/>
    <w:rsid w:val="0D9553DC"/>
    <w:rsid w:val="0D9F1A6C"/>
    <w:rsid w:val="0DD00B0A"/>
    <w:rsid w:val="0E8C4A31"/>
    <w:rsid w:val="0EF15A6A"/>
    <w:rsid w:val="0F7A6F7F"/>
    <w:rsid w:val="0FC6278D"/>
    <w:rsid w:val="0FE97C61"/>
    <w:rsid w:val="0FED38B1"/>
    <w:rsid w:val="0FED3F88"/>
    <w:rsid w:val="11186A50"/>
    <w:rsid w:val="114A37E2"/>
    <w:rsid w:val="11934328"/>
    <w:rsid w:val="11A17CDE"/>
    <w:rsid w:val="11BD3153"/>
    <w:rsid w:val="11E4732B"/>
    <w:rsid w:val="121511E1"/>
    <w:rsid w:val="123553DF"/>
    <w:rsid w:val="12360E39"/>
    <w:rsid w:val="124F64A1"/>
    <w:rsid w:val="125212D9"/>
    <w:rsid w:val="127C300E"/>
    <w:rsid w:val="12850115"/>
    <w:rsid w:val="128D756C"/>
    <w:rsid w:val="129C6B7B"/>
    <w:rsid w:val="12AA10F1"/>
    <w:rsid w:val="12E64874"/>
    <w:rsid w:val="12ED1816"/>
    <w:rsid w:val="133B2C38"/>
    <w:rsid w:val="14972381"/>
    <w:rsid w:val="14FE41AE"/>
    <w:rsid w:val="14FE762F"/>
    <w:rsid w:val="154107F7"/>
    <w:rsid w:val="158F4E06"/>
    <w:rsid w:val="15934396"/>
    <w:rsid w:val="165F0C7D"/>
    <w:rsid w:val="1743234C"/>
    <w:rsid w:val="175C6F6A"/>
    <w:rsid w:val="175F1F04"/>
    <w:rsid w:val="176E0569"/>
    <w:rsid w:val="177E3384"/>
    <w:rsid w:val="17C23271"/>
    <w:rsid w:val="18075128"/>
    <w:rsid w:val="181B0BD3"/>
    <w:rsid w:val="18392C19"/>
    <w:rsid w:val="18B95BD8"/>
    <w:rsid w:val="18EF5A71"/>
    <w:rsid w:val="195425EF"/>
    <w:rsid w:val="19924659"/>
    <w:rsid w:val="1A444411"/>
    <w:rsid w:val="1A5959E3"/>
    <w:rsid w:val="1A5A2585"/>
    <w:rsid w:val="1AAC0209"/>
    <w:rsid w:val="1AE70F33"/>
    <w:rsid w:val="1B193AF0"/>
    <w:rsid w:val="1B6034CD"/>
    <w:rsid w:val="1BE12F50"/>
    <w:rsid w:val="1BF754B3"/>
    <w:rsid w:val="1CE71497"/>
    <w:rsid w:val="1D156539"/>
    <w:rsid w:val="1D2E3157"/>
    <w:rsid w:val="1D7F002D"/>
    <w:rsid w:val="1D8E3FE2"/>
    <w:rsid w:val="1DB23D88"/>
    <w:rsid w:val="1DC615E1"/>
    <w:rsid w:val="1E1862E1"/>
    <w:rsid w:val="1E933BB9"/>
    <w:rsid w:val="1EFB350D"/>
    <w:rsid w:val="1F240CB5"/>
    <w:rsid w:val="1F6B41EE"/>
    <w:rsid w:val="1FF04F55"/>
    <w:rsid w:val="20A43E5C"/>
    <w:rsid w:val="20E701EC"/>
    <w:rsid w:val="210C1A01"/>
    <w:rsid w:val="21254871"/>
    <w:rsid w:val="213056EF"/>
    <w:rsid w:val="21BC6F83"/>
    <w:rsid w:val="21C422DC"/>
    <w:rsid w:val="22835CF3"/>
    <w:rsid w:val="229D4A1D"/>
    <w:rsid w:val="22F3177B"/>
    <w:rsid w:val="230B6414"/>
    <w:rsid w:val="24773635"/>
    <w:rsid w:val="257858B7"/>
    <w:rsid w:val="25893620"/>
    <w:rsid w:val="25C12DBA"/>
    <w:rsid w:val="261A6A42"/>
    <w:rsid w:val="263A2B6C"/>
    <w:rsid w:val="264E4600"/>
    <w:rsid w:val="267C13D7"/>
    <w:rsid w:val="26B12D4B"/>
    <w:rsid w:val="271909D4"/>
    <w:rsid w:val="271D5449"/>
    <w:rsid w:val="27351CB2"/>
    <w:rsid w:val="275859A0"/>
    <w:rsid w:val="277A5916"/>
    <w:rsid w:val="27802801"/>
    <w:rsid w:val="27E707C8"/>
    <w:rsid w:val="287E4F92"/>
    <w:rsid w:val="28DC114A"/>
    <w:rsid w:val="2967011C"/>
    <w:rsid w:val="297445E7"/>
    <w:rsid w:val="29917294"/>
    <w:rsid w:val="299507E6"/>
    <w:rsid w:val="29C94933"/>
    <w:rsid w:val="2A783C63"/>
    <w:rsid w:val="2AAF3B29"/>
    <w:rsid w:val="2AD92954"/>
    <w:rsid w:val="2C5801F0"/>
    <w:rsid w:val="2C752B50"/>
    <w:rsid w:val="2C935C03"/>
    <w:rsid w:val="2CB160A0"/>
    <w:rsid w:val="2D9C7093"/>
    <w:rsid w:val="2DA57465"/>
    <w:rsid w:val="2E385BE3"/>
    <w:rsid w:val="2E3F51C4"/>
    <w:rsid w:val="2EFA10EB"/>
    <w:rsid w:val="2EFF6701"/>
    <w:rsid w:val="2F57478F"/>
    <w:rsid w:val="30311973"/>
    <w:rsid w:val="305D7B83"/>
    <w:rsid w:val="30FE1366"/>
    <w:rsid w:val="31140B8A"/>
    <w:rsid w:val="31376626"/>
    <w:rsid w:val="31B859B9"/>
    <w:rsid w:val="320E382B"/>
    <w:rsid w:val="322A67FD"/>
    <w:rsid w:val="3255145A"/>
    <w:rsid w:val="32584AA6"/>
    <w:rsid w:val="329A50BF"/>
    <w:rsid w:val="32E75E2A"/>
    <w:rsid w:val="33A03224"/>
    <w:rsid w:val="341D7D55"/>
    <w:rsid w:val="34C226AB"/>
    <w:rsid w:val="34E95E89"/>
    <w:rsid w:val="34F226A3"/>
    <w:rsid w:val="353572E4"/>
    <w:rsid w:val="356523F5"/>
    <w:rsid w:val="35847960"/>
    <w:rsid w:val="35FF348B"/>
    <w:rsid w:val="361E6007"/>
    <w:rsid w:val="3699568D"/>
    <w:rsid w:val="36AF4EB1"/>
    <w:rsid w:val="36B204FD"/>
    <w:rsid w:val="36FA25D0"/>
    <w:rsid w:val="3713099F"/>
    <w:rsid w:val="37585548"/>
    <w:rsid w:val="37643EED"/>
    <w:rsid w:val="376B202F"/>
    <w:rsid w:val="3787198A"/>
    <w:rsid w:val="37B55105"/>
    <w:rsid w:val="396C0E37"/>
    <w:rsid w:val="39943FD2"/>
    <w:rsid w:val="3A0C6125"/>
    <w:rsid w:val="3A3A0F35"/>
    <w:rsid w:val="3A66321F"/>
    <w:rsid w:val="3A7C5D33"/>
    <w:rsid w:val="3AE72E6B"/>
    <w:rsid w:val="3AE96BE3"/>
    <w:rsid w:val="3B0C4680"/>
    <w:rsid w:val="3B4C0F20"/>
    <w:rsid w:val="3BC50684"/>
    <w:rsid w:val="3BCE3093"/>
    <w:rsid w:val="3C137C90"/>
    <w:rsid w:val="3C154B1E"/>
    <w:rsid w:val="3C371BD0"/>
    <w:rsid w:val="3C572376"/>
    <w:rsid w:val="3C5D56C6"/>
    <w:rsid w:val="3C7C081B"/>
    <w:rsid w:val="3D115F7D"/>
    <w:rsid w:val="3D6D1627"/>
    <w:rsid w:val="3DA46DF1"/>
    <w:rsid w:val="3DC6585A"/>
    <w:rsid w:val="3E686071"/>
    <w:rsid w:val="3EBB58F7"/>
    <w:rsid w:val="3F4F5483"/>
    <w:rsid w:val="3FBA0B4E"/>
    <w:rsid w:val="401069C0"/>
    <w:rsid w:val="40923879"/>
    <w:rsid w:val="40A217AB"/>
    <w:rsid w:val="40F57964"/>
    <w:rsid w:val="40F8389B"/>
    <w:rsid w:val="412169AB"/>
    <w:rsid w:val="41406E31"/>
    <w:rsid w:val="415B010F"/>
    <w:rsid w:val="418015D5"/>
    <w:rsid w:val="419E624E"/>
    <w:rsid w:val="41E304D3"/>
    <w:rsid w:val="41E73751"/>
    <w:rsid w:val="42213106"/>
    <w:rsid w:val="42827F70"/>
    <w:rsid w:val="42957651"/>
    <w:rsid w:val="42B775C7"/>
    <w:rsid w:val="42FF3E34"/>
    <w:rsid w:val="432602A9"/>
    <w:rsid w:val="433557D1"/>
    <w:rsid w:val="438D657A"/>
    <w:rsid w:val="44626E27"/>
    <w:rsid w:val="45761EBB"/>
    <w:rsid w:val="462D194E"/>
    <w:rsid w:val="470F32CA"/>
    <w:rsid w:val="477E4B57"/>
    <w:rsid w:val="4860425D"/>
    <w:rsid w:val="487321E2"/>
    <w:rsid w:val="493F3E72"/>
    <w:rsid w:val="49EB7B56"/>
    <w:rsid w:val="4A287AB5"/>
    <w:rsid w:val="4A884BA4"/>
    <w:rsid w:val="4B885FA4"/>
    <w:rsid w:val="4BD046E5"/>
    <w:rsid w:val="4BD16C05"/>
    <w:rsid w:val="4C0451A0"/>
    <w:rsid w:val="4C126EA2"/>
    <w:rsid w:val="4CC96874"/>
    <w:rsid w:val="4CCA6149"/>
    <w:rsid w:val="4D555966"/>
    <w:rsid w:val="4D700A9E"/>
    <w:rsid w:val="4D987FF5"/>
    <w:rsid w:val="4E233D62"/>
    <w:rsid w:val="4E2B0E69"/>
    <w:rsid w:val="4E6F6FA8"/>
    <w:rsid w:val="4E9538C3"/>
    <w:rsid w:val="4E9C3B15"/>
    <w:rsid w:val="4F0973FC"/>
    <w:rsid w:val="4F8545A9"/>
    <w:rsid w:val="4FBA4253"/>
    <w:rsid w:val="502B5150"/>
    <w:rsid w:val="50FD7827"/>
    <w:rsid w:val="51523EF4"/>
    <w:rsid w:val="519531C9"/>
    <w:rsid w:val="528F5E6A"/>
    <w:rsid w:val="52DD5D28"/>
    <w:rsid w:val="530D4FE1"/>
    <w:rsid w:val="531B14AC"/>
    <w:rsid w:val="538C6936"/>
    <w:rsid w:val="543C3DD0"/>
    <w:rsid w:val="544B4013"/>
    <w:rsid w:val="54790B80"/>
    <w:rsid w:val="54AF5068"/>
    <w:rsid w:val="5528445A"/>
    <w:rsid w:val="552B174F"/>
    <w:rsid w:val="555667CB"/>
    <w:rsid w:val="562763BA"/>
    <w:rsid w:val="56995B18"/>
    <w:rsid w:val="56A874FB"/>
    <w:rsid w:val="577675F9"/>
    <w:rsid w:val="577F494E"/>
    <w:rsid w:val="578216F5"/>
    <w:rsid w:val="57A1025C"/>
    <w:rsid w:val="58270F01"/>
    <w:rsid w:val="588C4ECA"/>
    <w:rsid w:val="58C46E3D"/>
    <w:rsid w:val="5910706A"/>
    <w:rsid w:val="59CE54CA"/>
    <w:rsid w:val="5A1F5D24"/>
    <w:rsid w:val="5A9658BC"/>
    <w:rsid w:val="5ABA5A4E"/>
    <w:rsid w:val="5B3C6463"/>
    <w:rsid w:val="5B423504"/>
    <w:rsid w:val="5B7C2D04"/>
    <w:rsid w:val="5CB52971"/>
    <w:rsid w:val="5D28263A"/>
    <w:rsid w:val="5D647EF4"/>
    <w:rsid w:val="5DB021CC"/>
    <w:rsid w:val="5DCD42C5"/>
    <w:rsid w:val="5DD72473"/>
    <w:rsid w:val="5DF43025"/>
    <w:rsid w:val="5E8B1BDC"/>
    <w:rsid w:val="5EDC0CDE"/>
    <w:rsid w:val="5EEC1A40"/>
    <w:rsid w:val="5F2142EE"/>
    <w:rsid w:val="5F69359F"/>
    <w:rsid w:val="603E4A2C"/>
    <w:rsid w:val="606326E4"/>
    <w:rsid w:val="612B1454"/>
    <w:rsid w:val="62F40B35"/>
    <w:rsid w:val="632E6FDA"/>
    <w:rsid w:val="63901A42"/>
    <w:rsid w:val="63BE65AF"/>
    <w:rsid w:val="63C7091D"/>
    <w:rsid w:val="63EB4ECB"/>
    <w:rsid w:val="643A5574"/>
    <w:rsid w:val="64813139"/>
    <w:rsid w:val="64836EB1"/>
    <w:rsid w:val="64973C13"/>
    <w:rsid w:val="64E13556"/>
    <w:rsid w:val="650224CC"/>
    <w:rsid w:val="651B533C"/>
    <w:rsid w:val="65AE4402"/>
    <w:rsid w:val="65F00576"/>
    <w:rsid w:val="66012783"/>
    <w:rsid w:val="661A55F3"/>
    <w:rsid w:val="66246472"/>
    <w:rsid w:val="66485C13"/>
    <w:rsid w:val="66A55805"/>
    <w:rsid w:val="66AA6977"/>
    <w:rsid w:val="67CA4DF7"/>
    <w:rsid w:val="67E16926"/>
    <w:rsid w:val="67E91721"/>
    <w:rsid w:val="693D1D24"/>
    <w:rsid w:val="69756720"/>
    <w:rsid w:val="6A3A2708"/>
    <w:rsid w:val="6A5E6A79"/>
    <w:rsid w:val="6A723C50"/>
    <w:rsid w:val="6AA7186A"/>
    <w:rsid w:val="6ACB24B8"/>
    <w:rsid w:val="6ACD7E32"/>
    <w:rsid w:val="6ADF0BB9"/>
    <w:rsid w:val="6AFE3735"/>
    <w:rsid w:val="6BE96194"/>
    <w:rsid w:val="6C307743"/>
    <w:rsid w:val="6CA75A03"/>
    <w:rsid w:val="6CC14A1B"/>
    <w:rsid w:val="6CED5810"/>
    <w:rsid w:val="6D033285"/>
    <w:rsid w:val="6D6A6E60"/>
    <w:rsid w:val="6D761CA9"/>
    <w:rsid w:val="6D9819BD"/>
    <w:rsid w:val="6DDC54A7"/>
    <w:rsid w:val="6DF40E20"/>
    <w:rsid w:val="6E380D0C"/>
    <w:rsid w:val="6E492F1A"/>
    <w:rsid w:val="6E7361E8"/>
    <w:rsid w:val="6EF11E06"/>
    <w:rsid w:val="6F79782E"/>
    <w:rsid w:val="70FD7FEB"/>
    <w:rsid w:val="712C1710"/>
    <w:rsid w:val="715E6CDC"/>
    <w:rsid w:val="718664C8"/>
    <w:rsid w:val="718D5813"/>
    <w:rsid w:val="721D6B97"/>
    <w:rsid w:val="721E5934"/>
    <w:rsid w:val="722A7366"/>
    <w:rsid w:val="7258197D"/>
    <w:rsid w:val="730B2E93"/>
    <w:rsid w:val="734D1364"/>
    <w:rsid w:val="73530396"/>
    <w:rsid w:val="73575B8E"/>
    <w:rsid w:val="737F118B"/>
    <w:rsid w:val="739015EB"/>
    <w:rsid w:val="73A0182E"/>
    <w:rsid w:val="73CD1EF7"/>
    <w:rsid w:val="73EB05CF"/>
    <w:rsid w:val="73F456D6"/>
    <w:rsid w:val="740C08E6"/>
    <w:rsid w:val="74510D7A"/>
    <w:rsid w:val="74850A24"/>
    <w:rsid w:val="74BF3F35"/>
    <w:rsid w:val="74DC522F"/>
    <w:rsid w:val="75AC2C6C"/>
    <w:rsid w:val="760B7E8B"/>
    <w:rsid w:val="766C10A8"/>
    <w:rsid w:val="76DD68F5"/>
    <w:rsid w:val="76E60F22"/>
    <w:rsid w:val="7725204A"/>
    <w:rsid w:val="77754D7F"/>
    <w:rsid w:val="777A2396"/>
    <w:rsid w:val="78645E1C"/>
    <w:rsid w:val="786D6D29"/>
    <w:rsid w:val="7918089D"/>
    <w:rsid w:val="793332E3"/>
    <w:rsid w:val="794A5D98"/>
    <w:rsid w:val="7956298E"/>
    <w:rsid w:val="79B20979"/>
    <w:rsid w:val="79CD0628"/>
    <w:rsid w:val="7A205476"/>
    <w:rsid w:val="7AC676A0"/>
    <w:rsid w:val="7AE10656"/>
    <w:rsid w:val="7B0E1773"/>
    <w:rsid w:val="7B452056"/>
    <w:rsid w:val="7B6018A2"/>
    <w:rsid w:val="7BD61B65"/>
    <w:rsid w:val="7C0D2017"/>
    <w:rsid w:val="7C1E3C37"/>
    <w:rsid w:val="7C5C3E92"/>
    <w:rsid w:val="7C5C7201"/>
    <w:rsid w:val="7C7750F6"/>
    <w:rsid w:val="7CB4634A"/>
    <w:rsid w:val="7CE85FF3"/>
    <w:rsid w:val="7D483D11"/>
    <w:rsid w:val="7D4A45B8"/>
    <w:rsid w:val="7E831C00"/>
    <w:rsid w:val="7EB22415"/>
    <w:rsid w:val="7EC00FD6"/>
    <w:rsid w:val="7F945543"/>
    <w:rsid w:val="7FDA21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Courier New" w:hAnsi="Courier New" w:eastAsia="Courier New" w:cs="Courier New"/>
      <w:color w:val="000000"/>
      <w:spacing w:val="0"/>
      <w:w w:val="100"/>
      <w:position w:val="0"/>
      <w:sz w:val="24"/>
      <w:szCs w:val="24"/>
      <w:shd w:val="clear" w:color="auto" w:fill="auto"/>
      <w:lang w:val="en-US" w:eastAsia="en-US" w:bidi="en-US"/>
    </w:rPr>
  </w:style>
  <w:style w:type="character" w:default="1" w:styleId="5">
    <w:name w:val="Default Paragraph Font"/>
    <w:uiPriority w:val="0"/>
    <w:rPr>
      <w:rFonts w:ascii="Courier New" w:hAnsi="Courier New" w:eastAsia="Courier New" w:cs="Courier New"/>
      <w:color w:val="000000"/>
      <w:spacing w:val="0"/>
      <w:w w:val="100"/>
      <w:position w:val="0"/>
      <w:sz w:val="24"/>
      <w:szCs w:val="24"/>
      <w:shd w:val="clear" w:color="auto" w:fill="auto"/>
      <w:lang w:val="en-US" w:eastAsia="en-US" w:bidi="en-US"/>
    </w:rPr>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标题 #1_"/>
    <w:basedOn w:val="5"/>
    <w:link w:val="7"/>
    <w:uiPriority w:val="0"/>
    <w:rPr>
      <w:rFonts w:ascii="宋体" w:hAnsi="宋体" w:eastAsia="宋体" w:cs="宋体"/>
      <w:color w:val="231F20"/>
      <w:sz w:val="54"/>
      <w:szCs w:val="54"/>
      <w:u w:val="none"/>
      <w:lang w:val="zh-CN" w:eastAsia="zh-CN" w:bidi="zh-CN"/>
    </w:rPr>
  </w:style>
  <w:style w:type="paragraph" w:customStyle="1" w:styleId="7">
    <w:name w:val="标题 #1"/>
    <w:basedOn w:val="1"/>
    <w:link w:val="6"/>
    <w:uiPriority w:val="0"/>
    <w:pPr>
      <w:widowControl w:val="0"/>
      <w:shd w:val="clear" w:color="auto" w:fill="auto"/>
      <w:spacing w:line="653" w:lineRule="exact"/>
      <w:jc w:val="center"/>
      <w:outlineLvl w:val="0"/>
    </w:pPr>
    <w:rPr>
      <w:rFonts w:ascii="宋体" w:hAnsi="宋体" w:eastAsia="宋体" w:cs="宋体"/>
      <w:color w:val="231F20"/>
      <w:sz w:val="54"/>
      <w:szCs w:val="54"/>
      <w:u w:val="none"/>
      <w:lang w:val="zh-CN" w:eastAsia="zh-CN" w:bidi="zh-CN"/>
    </w:rPr>
  </w:style>
  <w:style w:type="character" w:customStyle="1" w:styleId="8">
    <w:name w:val="正文文本_"/>
    <w:basedOn w:val="5"/>
    <w:link w:val="9"/>
    <w:qFormat/>
    <w:uiPriority w:val="0"/>
    <w:rPr>
      <w:rFonts w:ascii="宋体" w:hAnsi="宋体" w:eastAsia="宋体" w:cs="宋体"/>
      <w:sz w:val="20"/>
      <w:szCs w:val="20"/>
      <w:u w:val="none"/>
      <w:lang w:val="zh-CN" w:eastAsia="zh-CN" w:bidi="zh-CN"/>
    </w:rPr>
  </w:style>
  <w:style w:type="paragraph" w:customStyle="1" w:styleId="9">
    <w:name w:val="正文文本1"/>
    <w:basedOn w:val="1"/>
    <w:link w:val="8"/>
    <w:uiPriority w:val="0"/>
    <w:pPr>
      <w:widowControl w:val="0"/>
      <w:shd w:val="clear" w:color="auto" w:fill="auto"/>
      <w:spacing w:line="334" w:lineRule="auto"/>
      <w:ind w:firstLine="400"/>
    </w:pPr>
    <w:rPr>
      <w:rFonts w:ascii="宋体" w:hAnsi="宋体" w:eastAsia="宋体" w:cs="宋体"/>
      <w:sz w:val="20"/>
      <w:szCs w:val="20"/>
      <w:u w:val="none"/>
      <w:lang w:val="zh-CN" w:eastAsia="zh-CN" w:bidi="zh-CN"/>
    </w:rPr>
  </w:style>
  <w:style w:type="character" w:customStyle="1" w:styleId="10">
    <w:name w:val="正文文本 (4)_"/>
    <w:basedOn w:val="5"/>
    <w:link w:val="11"/>
    <w:uiPriority w:val="0"/>
    <w:rPr>
      <w:rFonts w:ascii="Arial" w:hAnsi="Arial" w:eastAsia="Arial" w:cs="Arial"/>
      <w:color w:val="231F20"/>
      <w:u w:val="none"/>
      <w:lang w:val="zh-CN" w:eastAsia="zh-CN" w:bidi="zh-CN"/>
    </w:rPr>
  </w:style>
  <w:style w:type="paragraph" w:customStyle="1" w:styleId="11">
    <w:name w:val="正文文本 (4)"/>
    <w:basedOn w:val="1"/>
    <w:link w:val="10"/>
    <w:qFormat/>
    <w:uiPriority w:val="0"/>
    <w:pPr>
      <w:widowControl w:val="0"/>
      <w:shd w:val="clear" w:color="auto" w:fill="auto"/>
      <w:jc w:val="center"/>
    </w:pPr>
    <w:rPr>
      <w:rFonts w:ascii="Arial" w:hAnsi="Arial" w:eastAsia="Arial" w:cs="Arial"/>
      <w:color w:val="231F20"/>
      <w:u w:val="none"/>
      <w:lang w:val="zh-CN" w:eastAsia="zh-CN" w:bidi="zh-CN"/>
    </w:rPr>
  </w:style>
  <w:style w:type="character" w:customStyle="1" w:styleId="12">
    <w:name w:val="标题 #3_"/>
    <w:basedOn w:val="5"/>
    <w:link w:val="13"/>
    <w:qFormat/>
    <w:uiPriority w:val="0"/>
    <w:rPr>
      <w:rFonts w:ascii="黑体" w:hAnsi="黑体" w:eastAsia="黑体" w:cs="黑体"/>
      <w:sz w:val="28"/>
      <w:szCs w:val="28"/>
      <w:u w:val="none"/>
      <w:lang w:val="zh-CN" w:eastAsia="zh-CN" w:bidi="zh-CN"/>
    </w:rPr>
  </w:style>
  <w:style w:type="paragraph" w:customStyle="1" w:styleId="13">
    <w:name w:val="标题 #3"/>
    <w:basedOn w:val="1"/>
    <w:link w:val="12"/>
    <w:qFormat/>
    <w:uiPriority w:val="0"/>
    <w:pPr>
      <w:widowControl w:val="0"/>
      <w:shd w:val="clear" w:color="auto" w:fill="auto"/>
      <w:spacing w:after="330"/>
      <w:outlineLvl w:val="2"/>
    </w:pPr>
    <w:rPr>
      <w:rFonts w:ascii="黑体" w:hAnsi="黑体" w:eastAsia="黑体" w:cs="黑体"/>
      <w:sz w:val="28"/>
      <w:szCs w:val="28"/>
      <w:u w:val="none"/>
      <w:lang w:val="zh-CN" w:eastAsia="zh-CN" w:bidi="zh-CN"/>
    </w:rPr>
  </w:style>
  <w:style w:type="character" w:customStyle="1" w:styleId="14">
    <w:name w:val="页眉或页脚 (2)_"/>
    <w:basedOn w:val="5"/>
    <w:link w:val="15"/>
    <w:qFormat/>
    <w:uiPriority w:val="0"/>
    <w:rPr>
      <w:rFonts w:ascii="Times New Roman" w:hAnsi="Times New Roman" w:eastAsia="Times New Roman" w:cs="Times New Roman"/>
      <w:sz w:val="20"/>
      <w:szCs w:val="20"/>
      <w:u w:val="none"/>
      <w:lang w:val="zh-CN" w:eastAsia="zh-CN" w:bidi="zh-CN"/>
    </w:rPr>
  </w:style>
  <w:style w:type="paragraph" w:customStyle="1" w:styleId="15">
    <w:name w:val="页眉或页脚 (2)"/>
    <w:basedOn w:val="1"/>
    <w:link w:val="14"/>
    <w:qFormat/>
    <w:uiPriority w:val="0"/>
    <w:pPr>
      <w:widowControl w:val="0"/>
      <w:shd w:val="clear" w:color="auto" w:fill="auto"/>
    </w:pPr>
    <w:rPr>
      <w:rFonts w:ascii="Times New Roman" w:hAnsi="Times New Roman" w:eastAsia="Times New Roman" w:cs="Times New Roman"/>
      <w:sz w:val="20"/>
      <w:szCs w:val="20"/>
      <w:u w:val="none"/>
      <w:lang w:val="zh-CN" w:eastAsia="zh-CN" w:bidi="zh-CN"/>
    </w:rPr>
  </w:style>
  <w:style w:type="character" w:customStyle="1" w:styleId="16">
    <w:name w:val="目录_"/>
    <w:basedOn w:val="5"/>
    <w:link w:val="17"/>
    <w:qFormat/>
    <w:uiPriority w:val="0"/>
    <w:rPr>
      <w:rFonts w:ascii="宋体" w:hAnsi="宋体" w:eastAsia="宋体" w:cs="宋体"/>
      <w:sz w:val="20"/>
      <w:szCs w:val="20"/>
      <w:u w:val="none"/>
      <w:lang w:val="zh-CN" w:eastAsia="zh-CN" w:bidi="zh-CN"/>
    </w:rPr>
  </w:style>
  <w:style w:type="paragraph" w:customStyle="1" w:styleId="17">
    <w:name w:val="目录"/>
    <w:basedOn w:val="1"/>
    <w:link w:val="16"/>
    <w:qFormat/>
    <w:uiPriority w:val="0"/>
    <w:pPr>
      <w:widowControl w:val="0"/>
      <w:shd w:val="clear" w:color="auto" w:fill="auto"/>
      <w:ind w:firstLine="220"/>
    </w:pPr>
    <w:rPr>
      <w:rFonts w:ascii="宋体" w:hAnsi="宋体" w:eastAsia="宋体" w:cs="宋体"/>
      <w:sz w:val="20"/>
      <w:szCs w:val="20"/>
      <w:u w:val="none"/>
      <w:lang w:val="zh-CN" w:eastAsia="zh-CN" w:bidi="zh-CN"/>
    </w:rPr>
  </w:style>
  <w:style w:type="character" w:customStyle="1" w:styleId="18">
    <w:name w:val="正文文本 (5)_"/>
    <w:basedOn w:val="5"/>
    <w:link w:val="19"/>
    <w:qFormat/>
    <w:uiPriority w:val="0"/>
    <w:rPr>
      <w:rFonts w:ascii="Times New Roman" w:hAnsi="Times New Roman" w:eastAsia="Times New Roman" w:cs="Times New Roman"/>
      <w:u w:val="none"/>
      <w:lang w:val="zh-CN" w:eastAsia="zh-CN" w:bidi="zh-CN"/>
    </w:rPr>
  </w:style>
  <w:style w:type="paragraph" w:customStyle="1" w:styleId="19">
    <w:name w:val="正文文本 (5)"/>
    <w:basedOn w:val="1"/>
    <w:link w:val="18"/>
    <w:qFormat/>
    <w:uiPriority w:val="0"/>
    <w:pPr>
      <w:widowControl w:val="0"/>
      <w:shd w:val="clear" w:color="auto" w:fill="auto"/>
      <w:spacing w:after="120" w:line="314" w:lineRule="exact"/>
    </w:pPr>
    <w:rPr>
      <w:rFonts w:ascii="Times New Roman" w:hAnsi="Times New Roman" w:eastAsia="Times New Roman" w:cs="Times New Roman"/>
      <w:u w:val="none"/>
      <w:lang w:val="zh-CN" w:eastAsia="zh-CN" w:bidi="zh-CN"/>
    </w:rPr>
  </w:style>
  <w:style w:type="character" w:customStyle="1" w:styleId="20">
    <w:name w:val="标题 #4_"/>
    <w:basedOn w:val="5"/>
    <w:link w:val="21"/>
    <w:uiPriority w:val="0"/>
    <w:rPr>
      <w:rFonts w:ascii="宋体" w:hAnsi="宋体" w:eastAsia="宋体" w:cs="宋体"/>
      <w:b/>
      <w:bCs/>
      <w:sz w:val="20"/>
      <w:szCs w:val="20"/>
      <w:u w:val="none"/>
      <w:lang w:val="zh-CN" w:eastAsia="zh-CN" w:bidi="zh-CN"/>
    </w:rPr>
  </w:style>
  <w:style w:type="paragraph" w:customStyle="1" w:styleId="21">
    <w:name w:val="标题 #4"/>
    <w:basedOn w:val="1"/>
    <w:link w:val="20"/>
    <w:qFormat/>
    <w:uiPriority w:val="0"/>
    <w:pPr>
      <w:widowControl w:val="0"/>
      <w:shd w:val="clear" w:color="auto" w:fill="auto"/>
      <w:spacing w:line="315" w:lineRule="exact"/>
      <w:outlineLvl w:val="3"/>
    </w:pPr>
    <w:rPr>
      <w:rFonts w:ascii="宋体" w:hAnsi="宋体" w:eastAsia="宋体" w:cs="宋体"/>
      <w:b/>
      <w:bCs/>
      <w:sz w:val="20"/>
      <w:szCs w:val="20"/>
      <w:u w:val="none"/>
      <w:lang w:val="zh-CN" w:eastAsia="zh-CN" w:bidi="zh-CN"/>
    </w:rPr>
  </w:style>
  <w:style w:type="character" w:customStyle="1" w:styleId="22">
    <w:name w:val="表格标题_"/>
    <w:basedOn w:val="5"/>
    <w:link w:val="23"/>
    <w:qFormat/>
    <w:uiPriority w:val="0"/>
    <w:rPr>
      <w:rFonts w:ascii="宋体" w:hAnsi="宋体" w:eastAsia="宋体" w:cs="宋体"/>
      <w:b/>
      <w:bCs/>
      <w:sz w:val="17"/>
      <w:szCs w:val="17"/>
      <w:u w:val="none"/>
      <w:lang w:val="zh-CN" w:eastAsia="zh-CN" w:bidi="zh-CN"/>
    </w:rPr>
  </w:style>
  <w:style w:type="paragraph" w:customStyle="1" w:styleId="23">
    <w:name w:val="表格标题"/>
    <w:basedOn w:val="1"/>
    <w:link w:val="22"/>
    <w:qFormat/>
    <w:uiPriority w:val="0"/>
    <w:pPr>
      <w:widowControl w:val="0"/>
      <w:shd w:val="clear" w:color="auto" w:fill="auto"/>
    </w:pPr>
    <w:rPr>
      <w:rFonts w:ascii="宋体" w:hAnsi="宋体" w:eastAsia="宋体" w:cs="宋体"/>
      <w:b/>
      <w:bCs/>
      <w:sz w:val="17"/>
      <w:szCs w:val="17"/>
      <w:u w:val="none"/>
      <w:lang w:val="zh-CN" w:eastAsia="zh-CN" w:bidi="zh-CN"/>
    </w:rPr>
  </w:style>
  <w:style w:type="character" w:customStyle="1" w:styleId="24">
    <w:name w:val="其他_"/>
    <w:basedOn w:val="5"/>
    <w:link w:val="25"/>
    <w:qFormat/>
    <w:uiPriority w:val="0"/>
    <w:rPr>
      <w:rFonts w:ascii="宋体" w:hAnsi="宋体" w:eastAsia="宋体" w:cs="宋体"/>
      <w:sz w:val="20"/>
      <w:szCs w:val="20"/>
      <w:u w:val="none"/>
      <w:lang w:val="zh-CN" w:eastAsia="zh-CN" w:bidi="zh-CN"/>
    </w:rPr>
  </w:style>
  <w:style w:type="paragraph" w:customStyle="1" w:styleId="25">
    <w:name w:val="其他"/>
    <w:basedOn w:val="1"/>
    <w:link w:val="24"/>
    <w:uiPriority w:val="0"/>
    <w:pPr>
      <w:widowControl w:val="0"/>
      <w:shd w:val="clear" w:color="auto" w:fill="auto"/>
      <w:spacing w:line="334" w:lineRule="auto"/>
      <w:ind w:firstLine="400"/>
    </w:pPr>
    <w:rPr>
      <w:rFonts w:ascii="宋体" w:hAnsi="宋体" w:eastAsia="宋体" w:cs="宋体"/>
      <w:sz w:val="20"/>
      <w:szCs w:val="20"/>
      <w:u w:val="none"/>
      <w:lang w:val="zh-CN" w:eastAsia="zh-CN" w:bidi="zh-CN"/>
    </w:rPr>
  </w:style>
  <w:style w:type="character" w:customStyle="1" w:styleId="26">
    <w:name w:val="图片标题_"/>
    <w:basedOn w:val="5"/>
    <w:link w:val="27"/>
    <w:qFormat/>
    <w:uiPriority w:val="0"/>
    <w:rPr>
      <w:rFonts w:ascii="宋体" w:hAnsi="宋体" w:eastAsia="宋体" w:cs="宋体"/>
      <w:color w:val="231F20"/>
      <w:sz w:val="17"/>
      <w:szCs w:val="17"/>
      <w:u w:val="none"/>
      <w:lang w:val="zh-CN" w:eastAsia="zh-CN" w:bidi="zh-CN"/>
    </w:rPr>
  </w:style>
  <w:style w:type="paragraph" w:customStyle="1" w:styleId="27">
    <w:name w:val="图片标题"/>
    <w:basedOn w:val="1"/>
    <w:link w:val="26"/>
    <w:qFormat/>
    <w:uiPriority w:val="0"/>
    <w:pPr>
      <w:widowControl w:val="0"/>
      <w:shd w:val="clear" w:color="auto" w:fill="auto"/>
    </w:pPr>
    <w:rPr>
      <w:rFonts w:ascii="宋体" w:hAnsi="宋体" w:eastAsia="宋体" w:cs="宋体"/>
      <w:color w:val="231F20"/>
      <w:sz w:val="17"/>
      <w:szCs w:val="17"/>
      <w:u w:val="none"/>
      <w:lang w:val="zh-CN" w:eastAsia="zh-CN" w:bidi="zh-CN"/>
    </w:rPr>
  </w:style>
  <w:style w:type="character" w:customStyle="1" w:styleId="28">
    <w:name w:val="正文文本 (2)_"/>
    <w:basedOn w:val="5"/>
    <w:link w:val="29"/>
    <w:qFormat/>
    <w:uiPriority w:val="0"/>
    <w:rPr>
      <w:rFonts w:ascii="宋体" w:hAnsi="宋体" w:eastAsia="宋体" w:cs="宋体"/>
      <w:color w:val="231F20"/>
      <w:sz w:val="17"/>
      <w:szCs w:val="17"/>
      <w:u w:val="none"/>
      <w:lang w:val="zh-CN" w:eastAsia="zh-CN" w:bidi="zh-CN"/>
    </w:rPr>
  </w:style>
  <w:style w:type="paragraph" w:customStyle="1" w:styleId="29">
    <w:name w:val="正文文本 (2)"/>
    <w:basedOn w:val="1"/>
    <w:link w:val="28"/>
    <w:uiPriority w:val="0"/>
    <w:pPr>
      <w:widowControl w:val="0"/>
      <w:shd w:val="clear" w:color="auto" w:fill="auto"/>
      <w:spacing w:after="320"/>
      <w:jc w:val="center"/>
    </w:pPr>
    <w:rPr>
      <w:rFonts w:ascii="宋体" w:hAnsi="宋体" w:eastAsia="宋体" w:cs="宋体"/>
      <w:color w:val="231F20"/>
      <w:sz w:val="17"/>
      <w:szCs w:val="17"/>
      <w:u w:val="none"/>
      <w:lang w:val="zh-CN" w:eastAsia="zh-CN" w:bidi="zh-CN"/>
    </w:rPr>
  </w:style>
  <w:style w:type="character" w:customStyle="1" w:styleId="30">
    <w:name w:val="正文文本 (3)_"/>
    <w:basedOn w:val="5"/>
    <w:link w:val="31"/>
    <w:qFormat/>
    <w:uiPriority w:val="0"/>
    <w:rPr>
      <w:rFonts w:ascii="Times New Roman" w:hAnsi="Times New Roman" w:eastAsia="Times New Roman" w:cs="Times New Roman"/>
      <w:color w:val="231F20"/>
      <w:sz w:val="17"/>
      <w:szCs w:val="17"/>
      <w:u w:val="single"/>
    </w:rPr>
  </w:style>
  <w:style w:type="paragraph" w:customStyle="1" w:styleId="31">
    <w:name w:val="正文文本 (3)"/>
    <w:basedOn w:val="1"/>
    <w:link w:val="30"/>
    <w:uiPriority w:val="0"/>
    <w:pPr>
      <w:widowControl w:val="0"/>
      <w:shd w:val="clear" w:color="auto" w:fill="auto"/>
      <w:spacing w:after="120" w:line="180" w:lineRule="auto"/>
      <w:jc w:val="center"/>
    </w:pPr>
    <w:rPr>
      <w:rFonts w:ascii="Times New Roman" w:hAnsi="Times New Roman" w:eastAsia="Times New Roman" w:cs="Times New Roman"/>
      <w:color w:val="231F20"/>
      <w:sz w:val="17"/>
      <w:szCs w:val="17"/>
      <w:u w:val="single"/>
    </w:rPr>
  </w:style>
  <w:style w:type="character" w:customStyle="1" w:styleId="32">
    <w:name w:val="标题 #2_"/>
    <w:basedOn w:val="5"/>
    <w:link w:val="33"/>
    <w:qFormat/>
    <w:uiPriority w:val="0"/>
    <w:rPr>
      <w:rFonts w:ascii="Times New Roman" w:hAnsi="Times New Roman" w:eastAsia="Times New Roman" w:cs="Times New Roman"/>
      <w:b/>
      <w:bCs/>
      <w:color w:val="231F20"/>
      <w:sz w:val="30"/>
      <w:szCs w:val="30"/>
      <w:u w:val="single"/>
      <w:lang w:val="zh-CN" w:eastAsia="zh-CN" w:bidi="zh-CN"/>
    </w:rPr>
  </w:style>
  <w:style w:type="paragraph" w:customStyle="1" w:styleId="33">
    <w:name w:val="标题 #2"/>
    <w:basedOn w:val="1"/>
    <w:link w:val="32"/>
    <w:qFormat/>
    <w:uiPriority w:val="0"/>
    <w:pPr>
      <w:widowControl w:val="0"/>
      <w:shd w:val="clear" w:color="auto" w:fill="auto"/>
      <w:spacing w:line="120" w:lineRule="auto"/>
      <w:jc w:val="center"/>
      <w:outlineLvl w:val="1"/>
    </w:pPr>
    <w:rPr>
      <w:rFonts w:ascii="Times New Roman" w:hAnsi="Times New Roman" w:eastAsia="Times New Roman" w:cs="Times New Roman"/>
      <w:b/>
      <w:bCs/>
      <w:color w:val="231F20"/>
      <w:sz w:val="30"/>
      <w:szCs w:val="30"/>
      <w:u w:val="single"/>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jpeg"/><Relationship Id="rId21" Type="http://schemas.openxmlformats.org/officeDocument/2006/relationships/image" Target="media/image2.jpe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11</TotalTime>
  <ScaleCrop>false</ScaleCrop>
  <LinksUpToDate>false</LinksUpToDate>
  <Application>WPS Office_11.8.6.11825_F1E327BC-269C-435d-A152-05C5408002CA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2023-07-18T00:50:00Z</dcterms:created>
  <dc:creator>作者</dc:creator>
  <cp:lastModifiedBy>ll</cp:lastModifiedBy>
  <dcterms:modified xsi:type="dcterms:W3CDTF">2023-07-19T07:10:54Z</dcterms:modified>
  <dc:subject>科目</dc:subject>
  <dc:title>标题</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9AE21BBD37904506B4ADF9E80BBD5498_12</vt:lpwstr>
  </property>
</Properties>
</file>